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192" w:lineRule="exact"/>
        <w:rPr>
          <w:sz w:val="24"/>
          <w:szCs w:val="24"/>
          <w:color w:val="auto"/>
        </w:rPr>
      </w:pPr>
      <w:r>
        <w:rPr>
          <w:sz w:val="24"/>
          <w:szCs w:val="24"/>
          <w:color w:val="auto"/>
        </w:rPr>
        <w:drawing>
          <wp:anchor simplePos="0" relativeHeight="251657728" behindDoc="1" locked="0" layoutInCell="0" allowOverlap="1">
            <wp:simplePos x="0" y="0"/>
            <wp:positionH relativeFrom="page">
              <wp:posOffset>1099820</wp:posOffset>
            </wp:positionH>
            <wp:positionV relativeFrom="page">
              <wp:posOffset>1005840</wp:posOffset>
            </wp:positionV>
            <wp:extent cx="5349240" cy="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5349240" cy="8890"/>
                    </a:xfrm>
                    <a:prstGeom prst="rect">
                      <a:avLst/>
                    </a:prstGeom>
                    <a:noFill/>
                  </pic:spPr>
                </pic:pic>
              </a:graphicData>
            </a:graphic>
          </wp:anchor>
        </w:drawing>
        <w:drawing>
          <wp:anchor simplePos="0" relativeHeight="251657728" behindDoc="1" locked="0" layoutInCell="0" allowOverlap="1">
            <wp:simplePos x="0" y="0"/>
            <wp:positionH relativeFrom="page">
              <wp:posOffset>1099820</wp:posOffset>
            </wp:positionH>
            <wp:positionV relativeFrom="page">
              <wp:posOffset>1023620</wp:posOffset>
            </wp:positionV>
            <wp:extent cx="534924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349240" cy="8255"/>
                    </a:xfrm>
                    <a:prstGeom prst="rect">
                      <a:avLst/>
                    </a:prstGeom>
                    <a:noFill/>
                  </pic:spPr>
                </pic:pic>
              </a:graphicData>
            </a:graphic>
          </wp:anchor>
        </w:drawing>
      </w:r>
    </w:p>
    <w:p>
      <w:pPr>
        <w:jc w:val="center"/>
        <w:spacing w:after="0"/>
        <w:rPr>
          <w:sz w:val="20"/>
          <w:szCs w:val="20"/>
          <w:color w:val="auto"/>
        </w:rPr>
      </w:pPr>
      <w:r>
        <w:rPr>
          <w:rFonts w:ascii="Times New Roman" w:cs="Times New Roman" w:eastAsia="Times New Roman" w:hAnsi="Times New Roman"/>
          <w:sz w:val="32"/>
          <w:szCs w:val="32"/>
          <w:b w:val="1"/>
          <w:bCs w:val="1"/>
          <w:color w:val="auto"/>
        </w:rPr>
        <w:t>UNITED STATES</w:t>
      </w:r>
    </w:p>
    <w:p>
      <w:pPr>
        <w:spacing w:after="0" w:line="2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2242820</wp:posOffset>
            </wp:positionH>
            <wp:positionV relativeFrom="paragraph">
              <wp:posOffset>38735</wp:posOffset>
            </wp:positionV>
            <wp:extent cx="123444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34440" cy="8255"/>
                    </a:xfrm>
                    <a:prstGeom prst="rect">
                      <a:avLst/>
                    </a:prstGeom>
                    <a:noFill/>
                  </pic:spPr>
                </pic:pic>
              </a:graphicData>
            </a:graphic>
          </wp:anchor>
        </w:drawing>
      </w:r>
    </w:p>
    <w:p>
      <w:pPr>
        <w:spacing w:after="0" w:line="8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2242820</wp:posOffset>
            </wp:positionH>
            <wp:positionV relativeFrom="paragraph">
              <wp:posOffset>70485</wp:posOffset>
            </wp:positionV>
            <wp:extent cx="123444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234440" cy="8255"/>
                    </a:xfrm>
                    <a:prstGeom prst="rect">
                      <a:avLst/>
                    </a:prstGeom>
                    <a:noFill/>
                  </pic:spPr>
                </pic:pic>
              </a:graphicData>
            </a:graphic>
          </wp:anchor>
        </w:drawing>
      </w:r>
    </w:p>
    <w:p>
      <w:pPr>
        <w:spacing w:after="0" w:line="15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jc w:val="center"/>
        <w:spacing w:after="0" w:line="234" w:lineRule="auto"/>
        <w:rPr>
          <w:sz w:val="20"/>
          <w:szCs w:val="20"/>
          <w:color w:val="auto"/>
        </w:rPr>
      </w:pPr>
      <w:r>
        <w:rPr>
          <w:rFonts w:ascii="Times New Roman" w:cs="Times New Roman" w:eastAsia="Times New Roman" w:hAnsi="Times New Roman"/>
          <w:sz w:val="22"/>
          <w:szCs w:val="22"/>
          <w:b w:val="1"/>
          <w:bCs w:val="1"/>
          <w:color w:val="auto"/>
        </w:rPr>
        <w:t>PURSUANT TO SECTION 13 OR 15(d)</w:t>
      </w:r>
    </w:p>
    <w:p>
      <w:pPr>
        <w:spacing w:after="0" w:line="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3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24,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1891030</wp:posOffset>
            </wp:positionH>
            <wp:positionV relativeFrom="paragraph">
              <wp:posOffset>64770</wp:posOffset>
            </wp:positionV>
            <wp:extent cx="1937385" cy="5746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937385" cy="57467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90" w:lineRule="exact"/>
        <w:rPr>
          <w:sz w:val="24"/>
          <w:szCs w:val="24"/>
          <w:color w:val="auto"/>
        </w:rPr>
      </w:pPr>
    </w:p>
    <w:p>
      <w:pPr>
        <w:jc w:val="center"/>
        <w:ind w:right="119"/>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2242820</wp:posOffset>
            </wp:positionH>
            <wp:positionV relativeFrom="paragraph">
              <wp:posOffset>55880</wp:posOffset>
            </wp:positionV>
            <wp:extent cx="123444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234440" cy="8255"/>
                    </a:xfrm>
                    <a:prstGeom prst="rect">
                      <a:avLst/>
                    </a:prstGeom>
                    <a:noFill/>
                  </pic:spPr>
                </pic:pic>
              </a:graphicData>
            </a:graphic>
          </wp:anchor>
        </w:drawing>
      </w:r>
    </w:p>
    <w:p>
      <w:pPr>
        <w:spacing w:after="0" w:line="91" w:lineRule="exact"/>
        <w:rPr>
          <w:sz w:val="24"/>
          <w:szCs w:val="24"/>
          <w:color w:val="auto"/>
        </w:rPr>
      </w:pPr>
    </w:p>
    <w:tbl>
      <w:tblPr>
        <w:tblLayout w:type="fixed"/>
        <w:tblInd w:w="540" w:type="dxa"/>
        <w:tblCellMar>
          <w:top w:w="0" w:type="dxa"/>
          <w:left w:w="0" w:type="dxa"/>
          <w:bottom w:w="0" w:type="dxa"/>
          <w:right w:w="0" w:type="dxa"/>
        </w:tblCellMar>
      </w:tblPr>
      <w:tr>
        <w:trPr>
          <w:trHeight w:val="207"/>
        </w:trPr>
        <w:tc>
          <w:tcPr>
            <w:tcW w:w="3020" w:type="dxa"/>
            <w:vAlign w:val="bottom"/>
          </w:tcPr>
          <w:p>
            <w:pPr>
              <w:jc w:val="center"/>
              <w:ind w:right="559"/>
              <w:spacing w:after="0"/>
              <w:rPr>
                <w:sz w:val="20"/>
                <w:szCs w:val="20"/>
                <w:color w:val="auto"/>
              </w:rPr>
            </w:pPr>
            <w:r>
              <w:rPr>
                <w:rFonts w:ascii="Times New Roman" w:cs="Times New Roman" w:eastAsia="Times New Roman" w:hAnsi="Times New Roman"/>
                <w:sz w:val="18"/>
                <w:szCs w:val="18"/>
                <w:b w:val="1"/>
                <w:bCs w:val="1"/>
                <w:color w:val="auto"/>
              </w:rPr>
              <w:t>Delaware</w:t>
            </w:r>
          </w:p>
        </w:tc>
        <w:tc>
          <w:tcPr>
            <w:tcW w:w="2360" w:type="dxa"/>
            <w:vAlign w:val="bottom"/>
          </w:tcPr>
          <w:p>
            <w:pPr>
              <w:ind w:left="660"/>
              <w:spacing w:after="0"/>
              <w:rPr>
                <w:sz w:val="20"/>
                <w:szCs w:val="20"/>
                <w:color w:val="auto"/>
              </w:rPr>
            </w:pPr>
            <w:r>
              <w:rPr>
                <w:rFonts w:ascii="Times New Roman" w:cs="Times New Roman" w:eastAsia="Times New Roman" w:hAnsi="Times New Roman"/>
                <w:sz w:val="18"/>
                <w:szCs w:val="18"/>
                <w:b w:val="1"/>
                <w:bCs w:val="1"/>
                <w:color w:val="auto"/>
              </w:rPr>
              <w:t>001-42509</w:t>
            </w:r>
          </w:p>
        </w:tc>
        <w:tc>
          <w:tcPr>
            <w:tcW w:w="2020" w:type="dxa"/>
            <w:vAlign w:val="bottom"/>
          </w:tcPr>
          <w:p>
            <w:pPr>
              <w:jc w:val="right"/>
              <w:ind w:right="61"/>
              <w:spacing w:after="0"/>
              <w:rPr>
                <w:sz w:val="20"/>
                <w:szCs w:val="20"/>
                <w:color w:val="auto"/>
              </w:rPr>
            </w:pPr>
            <w:r>
              <w:rPr>
                <w:rFonts w:ascii="Times New Roman" w:cs="Times New Roman" w:eastAsia="Times New Roman" w:hAnsi="Times New Roman"/>
                <w:sz w:val="18"/>
                <w:szCs w:val="18"/>
                <w:b w:val="1"/>
                <w:bCs w:val="1"/>
                <w:color w:val="auto"/>
              </w:rPr>
              <w:t>51-0323571</w:t>
            </w:r>
          </w:p>
        </w:tc>
      </w:tr>
      <w:tr>
        <w:trPr>
          <w:trHeight w:val="137"/>
        </w:trPr>
        <w:tc>
          <w:tcPr>
            <w:tcW w:w="3020" w:type="dxa"/>
            <w:vAlign w:val="bottom"/>
          </w:tcPr>
          <w:p>
            <w:pPr>
              <w:jc w:val="center"/>
              <w:ind w:right="559"/>
              <w:spacing w:after="0" w:line="137" w:lineRule="exact"/>
              <w:rPr>
                <w:sz w:val="20"/>
                <w:szCs w:val="20"/>
                <w:color w:val="auto"/>
              </w:rPr>
            </w:pPr>
            <w:r>
              <w:rPr>
                <w:rFonts w:ascii="Times New Roman" w:cs="Times New Roman" w:eastAsia="Times New Roman" w:hAnsi="Times New Roman"/>
                <w:sz w:val="14"/>
                <w:szCs w:val="14"/>
                <w:b w:val="1"/>
                <w:bCs w:val="1"/>
                <w:color w:val="auto"/>
              </w:rPr>
              <w:t>(State or other jurisdiction</w:t>
            </w:r>
          </w:p>
        </w:tc>
        <w:tc>
          <w:tcPr>
            <w:tcW w:w="2360" w:type="dxa"/>
            <w:vAlign w:val="bottom"/>
          </w:tcPr>
          <w:p>
            <w:pPr>
              <w:ind w:left="640"/>
              <w:spacing w:after="0" w:line="137" w:lineRule="exact"/>
              <w:rPr>
                <w:sz w:val="20"/>
                <w:szCs w:val="20"/>
                <w:color w:val="auto"/>
              </w:rPr>
            </w:pPr>
            <w:r>
              <w:rPr>
                <w:rFonts w:ascii="Times New Roman" w:cs="Times New Roman" w:eastAsia="Times New Roman" w:hAnsi="Times New Roman"/>
                <w:sz w:val="14"/>
                <w:szCs w:val="14"/>
                <w:b w:val="1"/>
                <w:bCs w:val="1"/>
                <w:color w:val="auto"/>
              </w:rPr>
              <w:t>(Commission</w:t>
            </w:r>
          </w:p>
        </w:tc>
        <w:tc>
          <w:tcPr>
            <w:tcW w:w="2020" w:type="dxa"/>
            <w:vAlign w:val="bottom"/>
          </w:tcPr>
          <w:p>
            <w:pPr>
              <w:jc w:val="center"/>
              <w:ind w:left="821"/>
              <w:spacing w:after="0" w:line="137" w:lineRule="exact"/>
              <w:rPr>
                <w:sz w:val="20"/>
                <w:szCs w:val="20"/>
                <w:color w:val="auto"/>
              </w:rPr>
            </w:pPr>
            <w:r>
              <w:rPr>
                <w:rFonts w:ascii="Times New Roman" w:cs="Times New Roman" w:eastAsia="Times New Roman" w:hAnsi="Times New Roman"/>
                <w:sz w:val="14"/>
                <w:szCs w:val="14"/>
                <w:b w:val="1"/>
                <w:bCs w:val="1"/>
                <w:color w:val="auto"/>
              </w:rPr>
              <w:t>(I.R.S. Employer</w:t>
            </w:r>
          </w:p>
        </w:tc>
      </w:tr>
      <w:tr>
        <w:trPr>
          <w:trHeight w:val="190"/>
        </w:trPr>
        <w:tc>
          <w:tcPr>
            <w:tcW w:w="3020" w:type="dxa"/>
            <w:vAlign w:val="bottom"/>
          </w:tcPr>
          <w:p>
            <w:pPr>
              <w:jc w:val="center"/>
              <w:ind w:right="559"/>
              <w:spacing w:after="0"/>
              <w:rPr>
                <w:sz w:val="20"/>
                <w:szCs w:val="20"/>
                <w:color w:val="auto"/>
              </w:rPr>
            </w:pPr>
            <w:r>
              <w:rPr>
                <w:rFonts w:ascii="Times New Roman" w:cs="Times New Roman" w:eastAsia="Times New Roman" w:hAnsi="Times New Roman"/>
                <w:sz w:val="14"/>
                <w:szCs w:val="14"/>
                <w:b w:val="1"/>
                <w:bCs w:val="1"/>
                <w:color w:val="auto"/>
              </w:rPr>
              <w:t>of incorporation)</w:t>
            </w:r>
          </w:p>
        </w:tc>
        <w:tc>
          <w:tcPr>
            <w:tcW w:w="2360" w:type="dxa"/>
            <w:vAlign w:val="bottom"/>
          </w:tcPr>
          <w:p>
            <w:pPr>
              <w:ind w:left="640"/>
              <w:spacing w:after="0"/>
              <w:rPr>
                <w:sz w:val="20"/>
                <w:szCs w:val="20"/>
                <w:color w:val="auto"/>
              </w:rPr>
            </w:pPr>
            <w:r>
              <w:rPr>
                <w:rFonts w:ascii="Times New Roman" w:cs="Times New Roman" w:eastAsia="Times New Roman" w:hAnsi="Times New Roman"/>
                <w:sz w:val="14"/>
                <w:szCs w:val="14"/>
                <w:b w:val="1"/>
                <w:bCs w:val="1"/>
                <w:color w:val="auto"/>
              </w:rPr>
              <w:t>File Number)</w:t>
            </w:r>
          </w:p>
        </w:tc>
        <w:tc>
          <w:tcPr>
            <w:tcW w:w="2020" w:type="dxa"/>
            <w:vAlign w:val="bottom"/>
          </w:tcPr>
          <w:p>
            <w:pPr>
              <w:jc w:val="center"/>
              <w:ind w:left="801"/>
              <w:spacing w:after="0"/>
              <w:rPr>
                <w:sz w:val="20"/>
                <w:szCs w:val="20"/>
                <w:color w:val="auto"/>
              </w:rPr>
            </w:pPr>
            <w:r>
              <w:rPr>
                <w:rFonts w:ascii="Times New Roman" w:cs="Times New Roman" w:eastAsia="Times New Roman" w:hAnsi="Times New Roman"/>
                <w:sz w:val="14"/>
                <w:szCs w:val="14"/>
                <w:b w:val="1"/>
                <w:bCs w:val="1"/>
                <w:color w:val="auto"/>
              </w:rPr>
              <w:t>Identification No.)</w:t>
            </w:r>
          </w:p>
        </w:tc>
      </w:tr>
      <w:tr>
        <w:trPr>
          <w:trHeight w:val="244"/>
        </w:trPr>
        <w:tc>
          <w:tcPr>
            <w:tcW w:w="3020" w:type="dxa"/>
            <w:vAlign w:val="bottom"/>
          </w:tcPr>
          <w:p>
            <w:pPr>
              <w:jc w:val="center"/>
              <w:ind w:right="559"/>
              <w:spacing w:after="0"/>
              <w:rPr>
                <w:sz w:val="20"/>
                <w:szCs w:val="20"/>
                <w:color w:val="auto"/>
              </w:rPr>
            </w:pPr>
            <w:r>
              <w:rPr>
                <w:rFonts w:ascii="Times New Roman" w:cs="Times New Roman" w:eastAsia="Times New Roman" w:hAnsi="Times New Roman"/>
                <w:sz w:val="18"/>
                <w:szCs w:val="18"/>
                <w:b w:val="1"/>
                <w:bCs w:val="1"/>
                <w:color w:val="auto"/>
              </w:rPr>
              <w:t>1850 Towers Crescent Plaza</w:t>
            </w:r>
          </w:p>
        </w:tc>
        <w:tc>
          <w:tcPr>
            <w:tcW w:w="2360" w:type="dxa"/>
            <w:vAlign w:val="bottom"/>
          </w:tcPr>
          <w:p>
            <w:pPr>
              <w:spacing w:after="0"/>
              <w:rPr>
                <w:sz w:val="21"/>
                <w:szCs w:val="21"/>
                <w:color w:val="auto"/>
              </w:rPr>
            </w:pPr>
          </w:p>
        </w:tc>
        <w:tc>
          <w:tcPr>
            <w:tcW w:w="2020" w:type="dxa"/>
            <w:vAlign w:val="bottom"/>
          </w:tcPr>
          <w:p>
            <w:pPr>
              <w:spacing w:after="0"/>
              <w:rPr>
                <w:sz w:val="21"/>
                <w:szCs w:val="21"/>
                <w:color w:val="auto"/>
              </w:rPr>
            </w:pPr>
          </w:p>
        </w:tc>
      </w:tr>
      <w:tr>
        <w:trPr>
          <w:trHeight w:val="198"/>
        </w:trPr>
        <w:tc>
          <w:tcPr>
            <w:tcW w:w="3020" w:type="dxa"/>
            <w:vAlign w:val="bottom"/>
          </w:tcPr>
          <w:p>
            <w:pPr>
              <w:jc w:val="center"/>
              <w:ind w:right="559"/>
              <w:spacing w:after="0" w:line="198" w:lineRule="exact"/>
              <w:rPr>
                <w:sz w:val="20"/>
                <w:szCs w:val="20"/>
                <w:color w:val="auto"/>
              </w:rPr>
            </w:pPr>
            <w:r>
              <w:rPr>
                <w:rFonts w:ascii="Times New Roman" w:cs="Times New Roman" w:eastAsia="Times New Roman" w:hAnsi="Times New Roman"/>
                <w:sz w:val="18"/>
                <w:szCs w:val="18"/>
                <w:b w:val="1"/>
                <w:bCs w:val="1"/>
                <w:color w:val="auto"/>
                <w:w w:val="99"/>
              </w:rPr>
              <w:t>Tysons Corner, Virginia</w:t>
            </w:r>
          </w:p>
        </w:tc>
        <w:tc>
          <w:tcPr>
            <w:tcW w:w="2360" w:type="dxa"/>
            <w:vAlign w:val="bottom"/>
          </w:tcPr>
          <w:p>
            <w:pPr>
              <w:spacing w:after="0"/>
              <w:rPr>
                <w:sz w:val="17"/>
                <w:szCs w:val="17"/>
                <w:color w:val="auto"/>
              </w:rPr>
            </w:pPr>
          </w:p>
        </w:tc>
        <w:tc>
          <w:tcPr>
            <w:tcW w:w="2020" w:type="dxa"/>
            <w:vAlign w:val="bottom"/>
          </w:tcPr>
          <w:p>
            <w:pPr>
              <w:jc w:val="right"/>
              <w:ind w:right="261"/>
              <w:spacing w:after="0" w:line="198" w:lineRule="exact"/>
              <w:rPr>
                <w:sz w:val="20"/>
                <w:szCs w:val="20"/>
                <w:color w:val="auto"/>
              </w:rPr>
            </w:pPr>
            <w:r>
              <w:rPr>
                <w:rFonts w:ascii="Times New Roman" w:cs="Times New Roman" w:eastAsia="Times New Roman" w:hAnsi="Times New Roman"/>
                <w:sz w:val="18"/>
                <w:szCs w:val="18"/>
                <w:b w:val="1"/>
                <w:bCs w:val="1"/>
                <w:color w:val="auto"/>
              </w:rPr>
              <w:t>22182</w:t>
            </w:r>
          </w:p>
        </w:tc>
      </w:tr>
      <w:tr>
        <w:trPr>
          <w:trHeight w:val="190"/>
        </w:trPr>
        <w:tc>
          <w:tcPr>
            <w:tcW w:w="3020" w:type="dxa"/>
            <w:vAlign w:val="bottom"/>
          </w:tcPr>
          <w:p>
            <w:pPr>
              <w:jc w:val="center"/>
              <w:ind w:right="559"/>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tc>
        <w:tc>
          <w:tcPr>
            <w:tcW w:w="2360" w:type="dxa"/>
            <w:vAlign w:val="bottom"/>
          </w:tcPr>
          <w:p>
            <w:pPr>
              <w:spacing w:after="0"/>
              <w:rPr>
                <w:sz w:val="16"/>
                <w:szCs w:val="16"/>
                <w:color w:val="auto"/>
              </w:rPr>
            </w:pPr>
          </w:p>
        </w:tc>
        <w:tc>
          <w:tcPr>
            <w:tcW w:w="2020" w:type="dxa"/>
            <w:vAlign w:val="bottom"/>
          </w:tcPr>
          <w:p>
            <w:pPr>
              <w:jc w:val="center"/>
              <w:ind w:left="801"/>
              <w:spacing w:after="0"/>
              <w:rPr>
                <w:sz w:val="20"/>
                <w:szCs w:val="20"/>
                <w:color w:val="auto"/>
              </w:rPr>
            </w:pPr>
            <w:r>
              <w:rPr>
                <w:rFonts w:ascii="Times New Roman" w:cs="Times New Roman" w:eastAsia="Times New Roman" w:hAnsi="Times New Roman"/>
                <w:sz w:val="14"/>
                <w:szCs w:val="14"/>
                <w:b w:val="1"/>
                <w:bCs w:val="1"/>
                <w:color w:val="auto"/>
              </w:rPr>
              <w:t>(Zip Code)</w:t>
            </w:r>
          </w:p>
        </w:tc>
      </w:tr>
    </w:tbl>
    <w:p>
      <w:pPr>
        <w:spacing w:after="0" w:line="3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7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2242820</wp:posOffset>
            </wp:positionH>
            <wp:positionV relativeFrom="paragraph">
              <wp:posOffset>67945</wp:posOffset>
            </wp:positionV>
            <wp:extent cx="123444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234440" cy="8255"/>
                    </a:xfrm>
                    <a:prstGeom prst="rect">
                      <a:avLst/>
                    </a:prstGeom>
                    <a:noFill/>
                  </pic:spPr>
                </pic:pic>
              </a:graphicData>
            </a:graphic>
          </wp:anchor>
        </w:drawing>
      </w:r>
    </w:p>
    <w:p>
      <w:pPr>
        <w:spacing w:after="0" w:line="136" w:lineRule="exact"/>
        <w:rPr>
          <w:sz w:val="24"/>
          <w:szCs w:val="24"/>
          <w:color w:val="auto"/>
        </w:rPr>
      </w:pPr>
    </w:p>
    <w:p>
      <w:pPr>
        <w:ind w:left="300" w:right="399"/>
        <w:spacing w:after="0" w:line="253"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36" w:lineRule="exact"/>
        <w:rPr>
          <w:sz w:val="24"/>
          <w:szCs w:val="24"/>
          <w:color w:val="auto"/>
        </w:rPr>
      </w:pPr>
    </w:p>
    <w:p>
      <w:pPr>
        <w:ind w:left="640" w:hanging="335"/>
        <w:spacing w:after="0"/>
        <w:tabs>
          <w:tab w:leader="none" w:pos="64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55" w:lineRule="exact"/>
        <w:rPr>
          <w:rFonts w:ascii="MS PGothic" w:cs="MS PGothic" w:eastAsia="MS PGothic" w:hAnsi="MS PGothic"/>
          <w:sz w:val="18"/>
          <w:szCs w:val="18"/>
          <w:color w:val="auto"/>
        </w:rPr>
      </w:pPr>
    </w:p>
    <w:p>
      <w:pPr>
        <w:ind w:left="640" w:hanging="335"/>
        <w:spacing w:after="0"/>
        <w:tabs>
          <w:tab w:leader="none" w:pos="64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36" w:lineRule="exact"/>
        <w:rPr>
          <w:rFonts w:ascii="MS PGothic" w:cs="MS PGothic" w:eastAsia="MS PGothic" w:hAnsi="MS PGothic"/>
          <w:sz w:val="18"/>
          <w:szCs w:val="18"/>
          <w:color w:val="auto"/>
        </w:rPr>
      </w:pPr>
    </w:p>
    <w:p>
      <w:pPr>
        <w:ind w:left="640" w:right="659" w:hanging="335"/>
        <w:spacing w:after="0" w:line="242" w:lineRule="auto"/>
        <w:tabs>
          <w:tab w:leader="none" w:pos="64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8" w:lineRule="exact"/>
        <w:rPr>
          <w:rFonts w:ascii="MS PGothic" w:cs="MS PGothic" w:eastAsia="MS PGothic" w:hAnsi="MS PGothic"/>
          <w:sz w:val="18"/>
          <w:szCs w:val="18"/>
          <w:color w:val="auto"/>
        </w:rPr>
      </w:pPr>
    </w:p>
    <w:p>
      <w:pPr>
        <w:ind w:left="300" w:right="339" w:firstLine="5"/>
        <w:spacing w:after="0" w:line="309" w:lineRule="auto"/>
        <w:tabs>
          <w:tab w:leader="none" w:pos="651"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300" w:type="dxa"/>
        <w:tblCellMar>
          <w:top w:w="0" w:type="dxa"/>
          <w:left w:w="0" w:type="dxa"/>
          <w:bottom w:w="0" w:type="dxa"/>
          <w:right w:w="0" w:type="dxa"/>
        </w:tblCellMar>
      </w:tblPr>
      <w:tr>
        <w:trPr>
          <w:trHeight w:val="149"/>
        </w:trPr>
        <w:tc>
          <w:tcPr>
            <w:tcW w:w="32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100" w:type="dxa"/>
            <w:vAlign w:val="bottom"/>
          </w:tcPr>
          <w:p>
            <w:pPr>
              <w:spacing w:after="0"/>
              <w:rPr>
                <w:sz w:val="12"/>
                <w:szCs w:val="12"/>
                <w:color w:val="auto"/>
              </w:rPr>
            </w:pPr>
          </w:p>
        </w:tc>
        <w:tc>
          <w:tcPr>
            <w:tcW w:w="1680" w:type="dxa"/>
            <w:vAlign w:val="bottom"/>
          </w:tcPr>
          <w:p>
            <w:pPr>
              <w:ind w:left="58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80" w:type="dxa"/>
            <w:vAlign w:val="bottom"/>
          </w:tcPr>
          <w:p>
            <w:pPr>
              <w:spacing w:after="0"/>
              <w:rPr>
                <w:sz w:val="12"/>
                <w:szCs w:val="12"/>
                <w:color w:val="auto"/>
              </w:rPr>
            </w:pPr>
          </w:p>
        </w:tc>
        <w:tc>
          <w:tcPr>
            <w:tcW w:w="32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94"/>
        </w:trPr>
        <w:tc>
          <w:tcPr>
            <w:tcW w:w="3280" w:type="dxa"/>
            <w:vAlign w:val="bottom"/>
            <w:tcBorders>
              <w:bottom w:val="single" w:sz="8" w:color="auto"/>
            </w:tcBorders>
            <w:vMerge w:val="continue"/>
          </w:tcPr>
          <w:p>
            <w:pPr>
              <w:spacing w:after="0"/>
              <w:rPr>
                <w:sz w:val="16"/>
                <w:szCs w:val="16"/>
                <w:color w:val="auto"/>
              </w:rPr>
            </w:pPr>
          </w:p>
        </w:tc>
        <w:tc>
          <w:tcPr>
            <w:tcW w:w="100" w:type="dxa"/>
            <w:vAlign w:val="bottom"/>
          </w:tcPr>
          <w:p>
            <w:pPr>
              <w:spacing w:after="0"/>
              <w:rPr>
                <w:sz w:val="16"/>
                <w:szCs w:val="16"/>
                <w:color w:val="auto"/>
              </w:rPr>
            </w:pPr>
          </w:p>
        </w:tc>
        <w:tc>
          <w:tcPr>
            <w:tcW w:w="1680" w:type="dxa"/>
            <w:vAlign w:val="bottom"/>
            <w:tcBorders>
              <w:bottom w:val="single" w:sz="8" w:color="auto"/>
            </w:tcBorders>
          </w:tcPr>
          <w:p>
            <w:pPr>
              <w:ind w:left="60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80" w:type="dxa"/>
            <w:vAlign w:val="bottom"/>
          </w:tcPr>
          <w:p>
            <w:pPr>
              <w:spacing w:after="0"/>
              <w:rPr>
                <w:sz w:val="16"/>
                <w:szCs w:val="16"/>
                <w:color w:val="auto"/>
              </w:rPr>
            </w:pPr>
          </w:p>
        </w:tc>
        <w:tc>
          <w:tcPr>
            <w:tcW w:w="32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148"/>
        </w:trPr>
        <w:tc>
          <w:tcPr>
            <w:tcW w:w="3280" w:type="dxa"/>
            <w:vAlign w:val="bottom"/>
          </w:tcPr>
          <w:p>
            <w:pPr>
              <w:jc w:val="center"/>
              <w:spacing w:after="0" w:line="149" w:lineRule="exact"/>
              <w:rPr>
                <w:sz w:val="20"/>
                <w:szCs w:val="20"/>
                <w:color w:val="auto"/>
              </w:rPr>
            </w:pPr>
            <w:r>
              <w:rPr>
                <w:rFonts w:ascii="Times New Roman" w:cs="Times New Roman" w:eastAsia="Times New Roman" w:hAnsi="Times New Roman"/>
                <w:sz w:val="17"/>
                <w:szCs w:val="17"/>
                <w:b w:val="1"/>
                <w:bCs w:val="1"/>
                <w:color w:val="auto"/>
              </w:rPr>
              <w:t>Class A common stock, par value $0.001</w:t>
            </w:r>
          </w:p>
        </w:tc>
        <w:tc>
          <w:tcPr>
            <w:tcW w:w="100" w:type="dxa"/>
            <w:vAlign w:val="bottom"/>
          </w:tcPr>
          <w:p>
            <w:pPr>
              <w:spacing w:after="0"/>
              <w:rPr>
                <w:sz w:val="12"/>
                <w:szCs w:val="12"/>
                <w:color w:val="auto"/>
              </w:rPr>
            </w:pPr>
          </w:p>
        </w:tc>
        <w:tc>
          <w:tcPr>
            <w:tcW w:w="1680" w:type="dxa"/>
            <w:vAlign w:val="bottom"/>
          </w:tcPr>
          <w:p>
            <w:pPr>
              <w:ind w:left="580"/>
              <w:spacing w:after="0" w:line="149" w:lineRule="exact"/>
              <w:rPr>
                <w:sz w:val="20"/>
                <w:szCs w:val="20"/>
                <w:color w:val="auto"/>
              </w:rPr>
            </w:pPr>
            <w:r>
              <w:rPr>
                <w:rFonts w:ascii="Times New Roman" w:cs="Times New Roman" w:eastAsia="Times New Roman" w:hAnsi="Times New Roman"/>
                <w:sz w:val="17"/>
                <w:szCs w:val="17"/>
                <w:b w:val="1"/>
                <w:bCs w:val="1"/>
                <w:color w:val="auto"/>
              </w:rPr>
              <w:t>MSTR</w:t>
            </w:r>
          </w:p>
        </w:tc>
        <w:tc>
          <w:tcPr>
            <w:tcW w:w="80" w:type="dxa"/>
            <w:vAlign w:val="bottom"/>
          </w:tcPr>
          <w:p>
            <w:pPr>
              <w:spacing w:after="0"/>
              <w:rPr>
                <w:sz w:val="12"/>
                <w:szCs w:val="12"/>
                <w:color w:val="auto"/>
              </w:rPr>
            </w:pPr>
          </w:p>
        </w:tc>
        <w:tc>
          <w:tcPr>
            <w:tcW w:w="3280" w:type="dxa"/>
            <w:vAlign w:val="bottom"/>
          </w:tcPr>
          <w:p>
            <w:pPr>
              <w:jc w:val="center"/>
              <w:spacing w:after="0" w:line="149" w:lineRule="exact"/>
              <w:rPr>
                <w:sz w:val="20"/>
                <w:szCs w:val="20"/>
                <w:color w:val="auto"/>
              </w:rPr>
            </w:pPr>
            <w:r>
              <w:rPr>
                <w:rFonts w:ascii="Times New Roman" w:cs="Times New Roman" w:eastAsia="Times New Roman" w:hAnsi="Times New Roman"/>
                <w:sz w:val="17"/>
                <w:szCs w:val="17"/>
                <w:b w:val="1"/>
                <w:bCs w:val="1"/>
                <w:color w:val="auto"/>
              </w:rPr>
              <w:t>The Nasdaq Global Select Market</w:t>
            </w:r>
          </w:p>
        </w:tc>
        <w:tc>
          <w:tcPr>
            <w:tcW w:w="0" w:type="dxa"/>
            <w:vAlign w:val="bottom"/>
          </w:tcPr>
          <w:p>
            <w:pPr>
              <w:spacing w:after="0"/>
              <w:rPr>
                <w:sz w:val="1"/>
                <w:szCs w:val="1"/>
                <w:color w:val="auto"/>
              </w:rPr>
            </w:pPr>
          </w:p>
        </w:tc>
      </w:tr>
      <w:tr>
        <w:trPr>
          <w:trHeight w:val="180"/>
        </w:trPr>
        <w:tc>
          <w:tcPr>
            <w:tcW w:w="3280" w:type="dxa"/>
            <w:vAlign w:val="bottom"/>
          </w:tcPr>
          <w:p>
            <w:pPr>
              <w:jc w:val="center"/>
              <w:spacing w:after="0" w:line="180" w:lineRule="exact"/>
              <w:rPr>
                <w:sz w:val="20"/>
                <w:szCs w:val="20"/>
                <w:color w:val="auto"/>
              </w:rPr>
            </w:pPr>
            <w:r>
              <w:rPr>
                <w:rFonts w:ascii="Times New Roman" w:cs="Times New Roman" w:eastAsia="Times New Roman" w:hAnsi="Times New Roman"/>
                <w:sz w:val="18"/>
                <w:szCs w:val="18"/>
                <w:b w:val="1"/>
                <w:bCs w:val="1"/>
                <w:color w:val="auto"/>
                <w:w w:val="99"/>
              </w:rPr>
              <w:t>per share</w:t>
            </w:r>
          </w:p>
        </w:tc>
        <w:tc>
          <w:tcPr>
            <w:tcW w:w="100" w:type="dxa"/>
            <w:vAlign w:val="bottom"/>
          </w:tcPr>
          <w:p>
            <w:pPr>
              <w:spacing w:after="0"/>
              <w:rPr>
                <w:sz w:val="15"/>
                <w:szCs w:val="15"/>
                <w:color w:val="auto"/>
              </w:rPr>
            </w:pPr>
          </w:p>
        </w:tc>
        <w:tc>
          <w:tcPr>
            <w:tcW w:w="1680" w:type="dxa"/>
            <w:vAlign w:val="bottom"/>
            <w:vMerge w:val="restart"/>
          </w:tcPr>
          <w:p>
            <w:pPr>
              <w:ind w:left="600"/>
              <w:spacing w:after="0"/>
              <w:rPr>
                <w:sz w:val="20"/>
                <w:szCs w:val="20"/>
                <w:color w:val="auto"/>
              </w:rPr>
            </w:pPr>
            <w:r>
              <w:rPr>
                <w:rFonts w:ascii="Times New Roman" w:cs="Times New Roman" w:eastAsia="Times New Roman" w:hAnsi="Times New Roman"/>
                <w:sz w:val="18"/>
                <w:szCs w:val="18"/>
                <w:b w:val="1"/>
                <w:bCs w:val="1"/>
                <w:color w:val="auto"/>
              </w:rPr>
              <w:t>STRK</w:t>
            </w:r>
          </w:p>
        </w:tc>
        <w:tc>
          <w:tcPr>
            <w:tcW w:w="80" w:type="dxa"/>
            <w:vAlign w:val="bottom"/>
          </w:tcPr>
          <w:p>
            <w:pPr>
              <w:spacing w:after="0"/>
              <w:rPr>
                <w:sz w:val="15"/>
                <w:szCs w:val="15"/>
                <w:color w:val="auto"/>
              </w:rPr>
            </w:pPr>
          </w:p>
        </w:tc>
        <w:tc>
          <w:tcPr>
            <w:tcW w:w="3280" w:type="dxa"/>
            <w:vAlign w:val="bottom"/>
            <w:vMerge w:val="restart"/>
          </w:tcPr>
          <w:p>
            <w:pPr>
              <w:jc w:val="center"/>
              <w:spacing w:after="0"/>
              <w:rPr>
                <w:sz w:val="20"/>
                <w:szCs w:val="20"/>
                <w:color w:val="auto"/>
              </w:rPr>
            </w:pPr>
            <w:r>
              <w:rPr>
                <w:rFonts w:ascii="Times New Roman" w:cs="Times New Roman" w:eastAsia="Times New Roman" w:hAnsi="Times New Roman"/>
                <w:sz w:val="18"/>
                <w:szCs w:val="18"/>
                <w:b w:val="1"/>
                <w:bCs w:val="1"/>
                <w:color w:val="auto"/>
                <w:w w:val="99"/>
              </w:rPr>
              <w:t>The Nasdaq Global Select Market</w:t>
            </w:r>
          </w:p>
        </w:tc>
        <w:tc>
          <w:tcPr>
            <w:tcW w:w="0" w:type="dxa"/>
            <w:vAlign w:val="bottom"/>
          </w:tcPr>
          <w:p>
            <w:pPr>
              <w:spacing w:after="0"/>
              <w:rPr>
                <w:sz w:val="1"/>
                <w:szCs w:val="1"/>
                <w:color w:val="auto"/>
              </w:rPr>
            </w:pPr>
          </w:p>
        </w:tc>
      </w:tr>
      <w:tr>
        <w:trPr>
          <w:trHeight w:val="184"/>
        </w:trPr>
        <w:tc>
          <w:tcPr>
            <w:tcW w:w="3280" w:type="dxa"/>
            <w:vAlign w:val="bottom"/>
          </w:tcPr>
          <w:p>
            <w:pPr>
              <w:jc w:val="center"/>
              <w:spacing w:after="0" w:line="184" w:lineRule="exact"/>
              <w:rPr>
                <w:sz w:val="20"/>
                <w:szCs w:val="20"/>
                <w:color w:val="auto"/>
              </w:rPr>
            </w:pPr>
            <w:r>
              <w:rPr>
                <w:rFonts w:ascii="Times New Roman" w:cs="Times New Roman" w:eastAsia="Times New Roman" w:hAnsi="Times New Roman"/>
                <w:sz w:val="18"/>
                <w:szCs w:val="18"/>
                <w:b w:val="1"/>
                <w:bCs w:val="1"/>
                <w:color w:val="auto"/>
                <w:w w:val="99"/>
              </w:rPr>
              <w:t>8.00% Series A Perpetual Strike</w:t>
            </w:r>
          </w:p>
        </w:tc>
        <w:tc>
          <w:tcPr>
            <w:tcW w:w="100" w:type="dxa"/>
            <w:vAlign w:val="bottom"/>
          </w:tcPr>
          <w:p>
            <w:pPr>
              <w:spacing w:after="0"/>
              <w:rPr>
                <w:sz w:val="16"/>
                <w:szCs w:val="16"/>
                <w:color w:val="auto"/>
              </w:rPr>
            </w:pPr>
          </w:p>
        </w:tc>
        <w:tc>
          <w:tcPr>
            <w:tcW w:w="1680" w:type="dxa"/>
            <w:vAlign w:val="bottom"/>
            <w:vMerge w:val="continue"/>
          </w:tcPr>
          <w:p>
            <w:pPr>
              <w:spacing w:after="0"/>
              <w:rPr>
                <w:sz w:val="16"/>
                <w:szCs w:val="16"/>
                <w:color w:val="auto"/>
              </w:rPr>
            </w:pPr>
          </w:p>
        </w:tc>
        <w:tc>
          <w:tcPr>
            <w:tcW w:w="80" w:type="dxa"/>
            <w:vAlign w:val="bottom"/>
          </w:tcPr>
          <w:p>
            <w:pPr>
              <w:spacing w:after="0"/>
              <w:rPr>
                <w:sz w:val="16"/>
                <w:szCs w:val="16"/>
                <w:color w:val="auto"/>
              </w:rPr>
            </w:pPr>
          </w:p>
        </w:tc>
        <w:tc>
          <w:tcPr>
            <w:tcW w:w="3280" w:type="dxa"/>
            <w:vAlign w:val="bottom"/>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180"/>
        </w:trPr>
        <w:tc>
          <w:tcPr>
            <w:tcW w:w="3280" w:type="dxa"/>
            <w:vAlign w:val="bottom"/>
          </w:tcPr>
          <w:p>
            <w:pPr>
              <w:jc w:val="center"/>
              <w:spacing w:after="0" w:line="180" w:lineRule="exact"/>
              <w:rPr>
                <w:sz w:val="20"/>
                <w:szCs w:val="20"/>
                <w:color w:val="auto"/>
              </w:rPr>
            </w:pPr>
            <w:r>
              <w:rPr>
                <w:rFonts w:ascii="Times New Roman" w:cs="Times New Roman" w:eastAsia="Times New Roman" w:hAnsi="Times New Roman"/>
                <w:sz w:val="18"/>
                <w:szCs w:val="18"/>
                <w:b w:val="1"/>
                <w:bCs w:val="1"/>
                <w:color w:val="auto"/>
                <w:w w:val="99"/>
              </w:rPr>
              <w:t>Preferred Stock, $0.001 par value per</w:t>
            </w:r>
          </w:p>
        </w:tc>
        <w:tc>
          <w:tcPr>
            <w:tcW w:w="100" w:type="dxa"/>
            <w:vAlign w:val="bottom"/>
          </w:tcPr>
          <w:p>
            <w:pPr>
              <w:spacing w:after="0"/>
              <w:rPr>
                <w:sz w:val="15"/>
                <w:szCs w:val="15"/>
                <w:color w:val="auto"/>
              </w:rPr>
            </w:pPr>
          </w:p>
        </w:tc>
        <w:tc>
          <w:tcPr>
            <w:tcW w:w="168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32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38"/>
        </w:trPr>
        <w:tc>
          <w:tcPr>
            <w:tcW w:w="3280" w:type="dxa"/>
            <w:vAlign w:val="bottom"/>
          </w:tcPr>
          <w:p>
            <w:pPr>
              <w:jc w:val="center"/>
              <w:spacing w:after="0"/>
              <w:rPr>
                <w:sz w:val="20"/>
                <w:szCs w:val="20"/>
                <w:color w:val="auto"/>
              </w:rPr>
            </w:pPr>
            <w:r>
              <w:rPr>
                <w:rFonts w:ascii="Times New Roman" w:cs="Times New Roman" w:eastAsia="Times New Roman" w:hAnsi="Times New Roman"/>
                <w:sz w:val="18"/>
                <w:szCs w:val="18"/>
                <w:b w:val="1"/>
                <w:bCs w:val="1"/>
                <w:color w:val="auto"/>
                <w:w w:val="99"/>
              </w:rPr>
              <w:t>share</w:t>
            </w:r>
          </w:p>
        </w:tc>
        <w:tc>
          <w:tcPr>
            <w:tcW w:w="100" w:type="dxa"/>
            <w:vAlign w:val="bottom"/>
          </w:tcPr>
          <w:p>
            <w:pPr>
              <w:spacing w:after="0"/>
              <w:rPr>
                <w:sz w:val="20"/>
                <w:szCs w:val="20"/>
                <w:color w:val="auto"/>
              </w:rPr>
            </w:pPr>
          </w:p>
        </w:tc>
        <w:tc>
          <w:tcPr>
            <w:tcW w:w="168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328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9" w:lineRule="exact"/>
        <w:rPr>
          <w:sz w:val="24"/>
          <w:szCs w:val="24"/>
          <w:color w:val="auto"/>
        </w:rPr>
      </w:pPr>
    </w:p>
    <w:p>
      <w:pPr>
        <w:jc w:val="both"/>
        <w:ind w:left="300" w:right="299"/>
        <w:spacing w:after="0" w:line="247"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ind w:left="300"/>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99" w:lineRule="exact"/>
        <w:rPr>
          <w:sz w:val="24"/>
          <w:szCs w:val="24"/>
          <w:color w:val="auto"/>
        </w:rPr>
      </w:pPr>
    </w:p>
    <w:p>
      <w:pPr>
        <w:jc w:val="both"/>
        <w:ind w:left="300" w:right="299"/>
        <w:spacing w:after="0" w:line="218"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185420</wp:posOffset>
            </wp:positionH>
            <wp:positionV relativeFrom="paragraph">
              <wp:posOffset>34925</wp:posOffset>
            </wp:positionV>
            <wp:extent cx="534924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5349240" cy="8255"/>
                    </a:xfrm>
                    <a:prstGeom prst="rect">
                      <a:avLst/>
                    </a:prstGeom>
                    <a:noFill/>
                  </pic:spPr>
                </pic:pic>
              </a:graphicData>
            </a:graphic>
          </wp:anchor>
        </w:drawing>
        <w:drawing>
          <wp:anchor simplePos="0" relativeHeight="251657728" behindDoc="1" locked="0" layoutInCell="0" allowOverlap="1">
            <wp:simplePos x="0" y="0"/>
            <wp:positionH relativeFrom="column">
              <wp:posOffset>185420</wp:posOffset>
            </wp:positionH>
            <wp:positionV relativeFrom="paragraph">
              <wp:posOffset>52070</wp:posOffset>
            </wp:positionV>
            <wp:extent cx="534924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5349240" cy="8890"/>
                    </a:xfrm>
                    <a:prstGeom prst="rect">
                      <a:avLst/>
                    </a:prstGeom>
                    <a:noFill/>
                  </pic:spPr>
                </pic:pic>
              </a:graphicData>
            </a:graphic>
          </wp:anchor>
        </w:drawing>
        <w:drawing>
          <wp:anchor simplePos="0" relativeHeight="251657728" behindDoc="1" locked="0" layoutInCell="0" allowOverlap="1">
            <wp:simplePos x="0" y="0"/>
            <wp:positionH relativeFrom="column">
              <wp:posOffset>-658495</wp:posOffset>
            </wp:positionH>
            <wp:positionV relativeFrom="paragraph">
              <wp:posOffset>1119505</wp:posOffset>
            </wp:positionV>
            <wp:extent cx="7037705" cy="425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40" w:right="1440" w:bottom="1440" w:gutter="0" w:footer="0" w:header="0"/>
        </w:sectPr>
      </w:pPr>
    </w:p>
    <w:bookmarkStart w:id="1" w:name="page2"/>
    <w:bookmarkEnd w:id="1"/>
    <w:p>
      <w:pPr>
        <w:spacing w:after="0" w:line="176" w:lineRule="exact"/>
        <w:rPr>
          <w:sz w:val="20"/>
          <w:szCs w:val="20"/>
          <w:color w:val="auto"/>
        </w:rPr>
      </w:pPr>
    </w:p>
    <w:p>
      <w:pPr>
        <w:ind w:left="300"/>
        <w:spacing w:after="0"/>
        <w:tabs>
          <w:tab w:leader="none" w:pos="1360" w:val="left"/>
        </w:tabs>
        <w:rPr>
          <w:sz w:val="20"/>
          <w:szCs w:val="20"/>
          <w:color w:val="auto"/>
        </w:rPr>
      </w:pPr>
      <w:r>
        <w:rPr>
          <w:rFonts w:ascii="Times New Roman" w:cs="Times New Roman" w:eastAsia="Times New Roman" w:hAnsi="Times New Roman"/>
          <w:sz w:val="18"/>
          <w:szCs w:val="18"/>
          <w:b w:val="1"/>
          <w:bCs w:val="1"/>
          <w:color w:val="auto"/>
        </w:rPr>
        <w:t>Item 8.01</w:t>
      </w:r>
      <w:r>
        <w:rPr>
          <w:sz w:val="20"/>
          <w:szCs w:val="20"/>
          <w:color w:val="auto"/>
        </w:rPr>
        <w:tab/>
      </w:r>
      <w:r>
        <w:rPr>
          <w:rFonts w:ascii="Times New Roman" w:cs="Times New Roman" w:eastAsia="Times New Roman" w:hAnsi="Times New Roman"/>
          <w:sz w:val="17"/>
          <w:szCs w:val="17"/>
          <w:b w:val="1"/>
          <w:bCs w:val="1"/>
          <w:color w:val="auto"/>
        </w:rPr>
        <w:t>Other Events.</w:t>
      </w:r>
    </w:p>
    <w:p>
      <w:pPr>
        <w:spacing w:after="0" w:line="214"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2030 Convertible Notes Update</w:t>
      </w:r>
    </w:p>
    <w:p>
      <w:pPr>
        <w:spacing w:after="0" w:line="214" w:lineRule="exact"/>
        <w:rPr>
          <w:sz w:val="20"/>
          <w:szCs w:val="20"/>
          <w:color w:val="auto"/>
        </w:rPr>
      </w:pPr>
    </w:p>
    <w:p>
      <w:pPr>
        <w:jc w:val="both"/>
        <w:ind w:left="300" w:right="19"/>
        <w:spacing w:after="0" w:line="243" w:lineRule="auto"/>
        <w:rPr>
          <w:sz w:val="20"/>
          <w:szCs w:val="20"/>
          <w:color w:val="auto"/>
        </w:rPr>
      </w:pPr>
      <w:r>
        <w:rPr>
          <w:rFonts w:ascii="Times New Roman" w:cs="Times New Roman" w:eastAsia="Times New Roman" w:hAnsi="Times New Roman"/>
          <w:sz w:val="18"/>
          <w:szCs w:val="18"/>
          <w:color w:val="auto"/>
        </w:rPr>
        <w:t>As previously disclosed, on February 21, 2025, MicroStrategy Incorporated d/b/a Strategy (the “Company”) completed a private offering (the “Convertible Notes Offering”) of its 0% convertible senior notes due 2030 (the “2030 Convertible Notes”). The Convertible Notes Offering, which included a conversion premium of approximately 35% over the U.S. composite volume weighted average price of the Company’s class A common stock from 1:30 p.m. through 4:00 p.m. Eastern Standard Time on February 19, 2025, was well received in the marketplace and resulted in the issuance of a total of $2.0 billion in aggregate principal amount, excluding the option of the initial purchasers to purchase $300.0 million of additional 2030 Convertible Notes, which remains in effect until February 27, 2025. Net proceeds from the Convertible Notes Offering to the Company totaled approximately $1.99 billion.</w:t>
      </w:r>
    </w:p>
    <w:p>
      <w:pPr>
        <w:spacing w:after="0" w:line="171"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ATM Update</w:t>
      </w:r>
    </w:p>
    <w:p>
      <w:pPr>
        <w:spacing w:after="0" w:line="214" w:lineRule="exact"/>
        <w:rPr>
          <w:sz w:val="20"/>
          <w:szCs w:val="20"/>
          <w:color w:val="auto"/>
        </w:rPr>
      </w:pPr>
    </w:p>
    <w:p>
      <w:pPr>
        <w:jc w:val="both"/>
        <w:ind w:left="300" w:right="19"/>
        <w:spacing w:after="0" w:line="258" w:lineRule="auto"/>
        <w:rPr>
          <w:sz w:val="20"/>
          <w:szCs w:val="20"/>
          <w:color w:val="auto"/>
        </w:rPr>
      </w:pPr>
      <w:r>
        <w:rPr>
          <w:rFonts w:ascii="Times New Roman" w:cs="Times New Roman" w:eastAsia="Times New Roman" w:hAnsi="Times New Roman"/>
          <w:sz w:val="18"/>
          <w:szCs w:val="18"/>
          <w:color w:val="auto"/>
        </w:rPr>
        <w:t>On February 24, 2025 the Company announced that, during the period between February 18, 2025 and February 23, 2025, the Company did not sell any shares of class A common stock (“Shares”) under its at-the-market equity offering program.</w:t>
      </w:r>
    </w:p>
    <w:p>
      <w:pPr>
        <w:spacing w:after="0" w:line="154"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Bitcoin Holdings Update</w:t>
      </w:r>
    </w:p>
    <w:p>
      <w:pPr>
        <w:spacing w:after="0" w:line="214"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On February 24, 2025, the Company announced that, during the period between February 18, 2025 and February 23, 2025, the Company acquired approximately 20,356 bitcoins for approximately $1.99 billion in cash, at an average price of approximately $97,514 per bitcoin, inclusive of fees and expenses. The bitcoin purchases were made using proceeds from the Convertible Notes Offering.</w:t>
      </w:r>
    </w:p>
    <w:p>
      <w:pPr>
        <w:spacing w:after="0" w:line="164" w:lineRule="exact"/>
        <w:rPr>
          <w:sz w:val="20"/>
          <w:szCs w:val="20"/>
          <w:color w:val="auto"/>
        </w:rPr>
      </w:pPr>
    </w:p>
    <w:p>
      <w:pPr>
        <w:jc w:val="both"/>
        <w:ind w:left="300" w:right="19"/>
        <w:spacing w:after="0" w:line="258" w:lineRule="auto"/>
        <w:rPr>
          <w:sz w:val="20"/>
          <w:szCs w:val="20"/>
          <w:color w:val="auto"/>
        </w:rPr>
      </w:pPr>
      <w:r>
        <w:rPr>
          <w:rFonts w:ascii="Times New Roman" w:cs="Times New Roman" w:eastAsia="Times New Roman" w:hAnsi="Times New Roman"/>
          <w:sz w:val="18"/>
          <w:szCs w:val="18"/>
          <w:color w:val="auto"/>
        </w:rPr>
        <w:t>As of February 23, 2025, the Company, together with its subsidiaries, held an aggregate of approximately 499,096 bitcoins, which were acquired at an aggregate purchase price of approximately $33.1 billion and an average purchase price of approximately $66,357 per bitcoin, inclusive of fees and expenses.</w:t>
      </w:r>
    </w:p>
    <w:p>
      <w:pPr>
        <w:spacing w:after="0" w:line="368" w:lineRule="exact"/>
        <w:rPr>
          <w:sz w:val="20"/>
          <w:szCs w:val="20"/>
          <w:color w:val="auto"/>
        </w:rPr>
      </w:pPr>
    </w:p>
    <w:p>
      <w:pPr>
        <w:ind w:left="300"/>
        <w:spacing w:after="0"/>
        <w:tabs>
          <w:tab w:leader="none" w:pos="1360" w:val="left"/>
        </w:tabs>
        <w:rPr>
          <w:sz w:val="20"/>
          <w:szCs w:val="20"/>
          <w:color w:val="auto"/>
        </w:rPr>
      </w:pPr>
      <w:r>
        <w:rPr>
          <w:rFonts w:ascii="Times New Roman" w:cs="Times New Roman" w:eastAsia="Times New Roman" w:hAnsi="Times New Roman"/>
          <w:sz w:val="18"/>
          <w:szCs w:val="18"/>
          <w:b w:val="1"/>
          <w:bCs w:val="1"/>
          <w:color w:val="auto"/>
        </w:rPr>
        <w:t>Item 7.01</w:t>
      </w:r>
      <w:r>
        <w:rPr>
          <w:sz w:val="20"/>
          <w:szCs w:val="20"/>
          <w:color w:val="auto"/>
        </w:rPr>
        <w:tab/>
      </w:r>
      <w:r>
        <w:rPr>
          <w:rFonts w:ascii="Times New Roman" w:cs="Times New Roman" w:eastAsia="Times New Roman" w:hAnsi="Times New Roman"/>
          <w:sz w:val="17"/>
          <w:szCs w:val="17"/>
          <w:b w:val="1"/>
          <w:bCs w:val="1"/>
          <w:color w:val="auto"/>
        </w:rPr>
        <w:t>Regulation FD Disclosure.</w:t>
      </w:r>
    </w:p>
    <w:p>
      <w:pPr>
        <w:spacing w:after="0" w:line="214"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BTC Yield, BTC Gain, BTC $ Gain KPIs</w:t>
      </w:r>
    </w:p>
    <w:p>
      <w:pPr>
        <w:spacing w:after="0" w:line="200"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From January 1, 2025 to February 23, 2025, the Company’s BTC Yield was 6.9%, the Company’s BTC Gain was 30,702, and the Company’s BTC $ Gain was $2.941 billion (based on the market price of one bitcoin on the Coinbase exchange at 4:00 p.m. Eastern Standard Time on February 23, 2025). For definitions of these terms, see “Important Information about BTC Yield, BTC Gain and BTC $ Gain KPIs” below.</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-658495</wp:posOffset>
            </wp:positionH>
            <wp:positionV relativeFrom="paragraph">
              <wp:posOffset>1062990</wp:posOffset>
            </wp:positionV>
            <wp:extent cx="7037705" cy="425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40" w:right="1440" w:bottom="1440" w:gutter="0" w:footer="0" w:header="0"/>
        </w:sectPr>
      </w:pPr>
    </w:p>
    <w:bookmarkStart w:id="2" w:name="page3"/>
    <w:bookmarkEnd w:id="2"/>
    <w:p>
      <w:pPr>
        <w:ind w:left="300"/>
        <w:spacing w:after="0"/>
        <w:rPr>
          <w:sz w:val="20"/>
          <w:szCs w:val="20"/>
          <w:color w:val="auto"/>
        </w:rPr>
      </w:pPr>
      <w:r>
        <w:rPr>
          <w:rFonts w:ascii="Times New Roman" w:cs="Times New Roman" w:eastAsia="Times New Roman" w:hAnsi="Times New Roman"/>
          <w:sz w:val="18"/>
          <w:szCs w:val="18"/>
          <w:i w:val="1"/>
          <w:iCs w:val="1"/>
          <w:color w:val="auto"/>
        </w:rPr>
        <w:t>BTC Yield, BTC Gain and BTC $ Gain KPIs and Basic and Assumed Diluted Shares Outstanding</w:t>
      </w:r>
    </w:p>
    <w:p>
      <w:pPr>
        <w:spacing w:after="0" w:line="203" w:lineRule="exact"/>
        <w:rPr>
          <w:sz w:val="20"/>
          <w:szCs w:val="20"/>
          <w:color w:val="auto"/>
        </w:rPr>
      </w:pPr>
    </w:p>
    <w:tbl>
      <w:tblPr>
        <w:tblLayout w:type="fixed"/>
        <w:tblInd w:w="300" w:type="dxa"/>
        <w:tblCellMar>
          <w:top w:w="0" w:type="dxa"/>
          <w:left w:w="0" w:type="dxa"/>
          <w:bottom w:w="0" w:type="dxa"/>
          <w:right w:w="0" w:type="dxa"/>
        </w:tblCellMar>
      </w:tblPr>
      <w:tr>
        <w:trPr>
          <w:trHeight w:val="205"/>
        </w:trPr>
        <w:tc>
          <w:tcPr>
            <w:tcW w:w="5020" w:type="dxa"/>
            <w:vAlign w:val="bottom"/>
          </w:tcPr>
          <w:p>
            <w:pPr>
              <w:spacing w:after="0"/>
              <w:rPr>
                <w:sz w:val="17"/>
                <w:szCs w:val="17"/>
                <w:color w:val="auto"/>
              </w:rPr>
            </w:pPr>
          </w:p>
        </w:tc>
        <w:tc>
          <w:tcPr>
            <w:tcW w:w="1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6"/>
                <w:szCs w:val="16"/>
                <w:b w:val="1"/>
                <w:bCs w:val="1"/>
                <w:color w:val="auto"/>
              </w:rPr>
              <w:t>12/31/2024</w:t>
            </w:r>
          </w:p>
        </w:tc>
        <w:tc>
          <w:tcPr>
            <w:tcW w:w="80" w:type="dxa"/>
            <w:vAlign w:val="bottom"/>
          </w:tcPr>
          <w:p>
            <w:pPr>
              <w:spacing w:after="0"/>
              <w:rPr>
                <w:sz w:val="17"/>
                <w:szCs w:val="17"/>
                <w:color w:val="auto"/>
              </w:rPr>
            </w:pPr>
          </w:p>
        </w:tc>
        <w:tc>
          <w:tcPr>
            <w:tcW w:w="580" w:type="dxa"/>
            <w:vAlign w:val="bottom"/>
            <w:tcBorders>
              <w:bottom w:val="single" w:sz="8" w:color="auto"/>
            </w:tcBorders>
          </w:tcPr>
          <w:p>
            <w:pPr>
              <w:spacing w:after="0"/>
              <w:rPr>
                <w:sz w:val="17"/>
                <w:szCs w:val="17"/>
                <w:color w:val="auto"/>
              </w:rPr>
            </w:pPr>
          </w:p>
        </w:tc>
        <w:tc>
          <w:tcPr>
            <w:tcW w:w="11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6"/>
                <w:szCs w:val="16"/>
                <w:b w:val="1"/>
                <w:bCs w:val="1"/>
                <w:color w:val="auto"/>
              </w:rPr>
              <w:t>2/23/2025</w:t>
            </w:r>
          </w:p>
        </w:tc>
        <w:tc>
          <w:tcPr>
            <w:tcW w:w="18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183"/>
        </w:trPr>
        <w:tc>
          <w:tcPr>
            <w:tcW w:w="5020" w:type="dxa"/>
            <w:vAlign w:val="bottom"/>
            <w:shd w:val="clear" w:color="auto" w:fill="CFF0FC"/>
          </w:tcPr>
          <w:p>
            <w:pPr>
              <w:ind w:left="100"/>
              <w:spacing w:after="0" w:line="182" w:lineRule="exact"/>
              <w:rPr>
                <w:sz w:val="20"/>
                <w:szCs w:val="20"/>
                <w:color w:val="auto"/>
              </w:rPr>
            </w:pPr>
            <w:r>
              <w:rPr>
                <w:rFonts w:ascii="Times New Roman" w:cs="Times New Roman" w:eastAsia="Times New Roman" w:hAnsi="Times New Roman"/>
                <w:sz w:val="18"/>
                <w:szCs w:val="18"/>
                <w:color w:val="auto"/>
              </w:rPr>
              <w:t>Total Bitcoin Holdings</w:t>
            </w:r>
          </w:p>
        </w:tc>
        <w:tc>
          <w:tcPr>
            <w:tcW w:w="1700" w:type="dxa"/>
            <w:vAlign w:val="bottom"/>
            <w:shd w:val="clear" w:color="auto" w:fill="CFF0FC"/>
          </w:tcPr>
          <w:p>
            <w:pPr>
              <w:jc w:val="right"/>
              <w:spacing w:after="0" w:line="182" w:lineRule="exact"/>
              <w:rPr>
                <w:sz w:val="20"/>
                <w:szCs w:val="20"/>
                <w:color w:val="auto"/>
              </w:rPr>
            </w:pPr>
            <w:r>
              <w:rPr>
                <w:rFonts w:ascii="Times New Roman" w:cs="Times New Roman" w:eastAsia="Times New Roman" w:hAnsi="Times New Roman"/>
                <w:sz w:val="18"/>
                <w:szCs w:val="18"/>
                <w:color w:val="auto"/>
              </w:rPr>
              <w:t>447,470</w:t>
            </w:r>
          </w:p>
        </w:tc>
        <w:tc>
          <w:tcPr>
            <w:tcW w:w="80" w:type="dxa"/>
            <w:vAlign w:val="bottom"/>
            <w:shd w:val="clear" w:color="auto" w:fill="CFF0FC"/>
          </w:tcPr>
          <w:p>
            <w:pPr>
              <w:spacing w:after="0"/>
              <w:rPr>
                <w:sz w:val="15"/>
                <w:szCs w:val="15"/>
                <w:color w:val="auto"/>
              </w:rPr>
            </w:pPr>
          </w:p>
        </w:tc>
        <w:tc>
          <w:tcPr>
            <w:tcW w:w="580" w:type="dxa"/>
            <w:vAlign w:val="bottom"/>
            <w:shd w:val="clear" w:color="auto" w:fill="CFF0FC"/>
          </w:tcPr>
          <w:p>
            <w:pPr>
              <w:spacing w:after="0"/>
              <w:rPr>
                <w:sz w:val="15"/>
                <w:szCs w:val="15"/>
                <w:color w:val="auto"/>
              </w:rPr>
            </w:pPr>
          </w:p>
        </w:tc>
        <w:tc>
          <w:tcPr>
            <w:tcW w:w="1140" w:type="dxa"/>
            <w:vAlign w:val="bottom"/>
            <w:shd w:val="clear" w:color="auto" w:fill="CFF0FC"/>
          </w:tcPr>
          <w:p>
            <w:pPr>
              <w:jc w:val="right"/>
              <w:spacing w:after="0" w:line="182" w:lineRule="exact"/>
              <w:rPr>
                <w:sz w:val="20"/>
                <w:szCs w:val="20"/>
                <w:color w:val="auto"/>
              </w:rPr>
            </w:pPr>
            <w:r>
              <w:rPr>
                <w:rFonts w:ascii="Times New Roman" w:cs="Times New Roman" w:eastAsia="Times New Roman" w:hAnsi="Times New Roman"/>
                <w:sz w:val="18"/>
                <w:szCs w:val="18"/>
                <w:color w:val="auto"/>
              </w:rPr>
              <w:t>499,096</w:t>
            </w:r>
          </w:p>
        </w:tc>
        <w:tc>
          <w:tcPr>
            <w:tcW w:w="18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189"/>
        </w:trPr>
        <w:tc>
          <w:tcPr>
            <w:tcW w:w="5020" w:type="dxa"/>
            <w:vAlign w:val="bottom"/>
          </w:tcPr>
          <w:p>
            <w:pPr>
              <w:ind w:left="100"/>
              <w:spacing w:after="0" w:line="189" w:lineRule="exact"/>
              <w:rPr>
                <w:sz w:val="20"/>
                <w:szCs w:val="20"/>
                <w:color w:val="auto"/>
              </w:rPr>
            </w:pPr>
            <w:r>
              <w:rPr>
                <w:rFonts w:ascii="Times New Roman" w:cs="Times New Roman" w:eastAsia="Times New Roman" w:hAnsi="Times New Roman"/>
                <w:sz w:val="18"/>
                <w:szCs w:val="18"/>
                <w:b w:val="1"/>
                <w:bCs w:val="1"/>
                <w:color w:val="auto"/>
              </w:rPr>
              <w:t>Shares Outstanding (in ‘000s)</w:t>
            </w:r>
          </w:p>
        </w:tc>
        <w:tc>
          <w:tcPr>
            <w:tcW w:w="170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11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280"/>
              <w:spacing w:after="0" w:line="189" w:lineRule="exact"/>
              <w:rPr>
                <w:sz w:val="20"/>
                <w:szCs w:val="20"/>
                <w:color w:val="auto"/>
              </w:rPr>
            </w:pPr>
            <w:r>
              <w:rPr>
                <w:rFonts w:ascii="Times New Roman" w:cs="Times New Roman" w:eastAsia="Times New Roman" w:hAnsi="Times New Roman"/>
                <w:sz w:val="18"/>
                <w:szCs w:val="18"/>
                <w:color w:val="auto"/>
              </w:rPr>
              <w:t>Class A</w:t>
            </w:r>
          </w:p>
        </w:tc>
        <w:tc>
          <w:tcPr>
            <w:tcW w:w="170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226,138</w:t>
            </w:r>
          </w:p>
        </w:tc>
        <w:tc>
          <w:tcPr>
            <w:tcW w:w="8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14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240,646</w:t>
            </w:r>
          </w:p>
        </w:tc>
        <w:tc>
          <w:tcPr>
            <w:tcW w:w="1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48"/>
        </w:trPr>
        <w:tc>
          <w:tcPr>
            <w:tcW w:w="5020" w:type="dxa"/>
            <w:vAlign w:val="bottom"/>
          </w:tcPr>
          <w:p>
            <w:pPr>
              <w:ind w:left="280"/>
              <w:spacing w:after="0" w:line="149" w:lineRule="exact"/>
              <w:rPr>
                <w:sz w:val="20"/>
                <w:szCs w:val="20"/>
                <w:color w:val="auto"/>
              </w:rPr>
            </w:pPr>
            <w:r>
              <w:rPr>
                <w:rFonts w:ascii="Times New Roman" w:cs="Times New Roman" w:eastAsia="Times New Roman" w:hAnsi="Times New Roman"/>
                <w:sz w:val="17"/>
                <w:szCs w:val="17"/>
                <w:color w:val="auto"/>
              </w:rPr>
              <w:t>Class B</w:t>
            </w:r>
          </w:p>
        </w:tc>
        <w:tc>
          <w:tcPr>
            <w:tcW w:w="1700" w:type="dxa"/>
            <w:vAlign w:val="bottom"/>
          </w:tcPr>
          <w:p>
            <w:pPr>
              <w:jc w:val="right"/>
              <w:spacing w:after="0" w:line="149" w:lineRule="exact"/>
              <w:rPr>
                <w:sz w:val="20"/>
                <w:szCs w:val="20"/>
                <w:color w:val="auto"/>
              </w:rPr>
            </w:pPr>
            <w:r>
              <w:rPr>
                <w:rFonts w:ascii="Times New Roman" w:cs="Times New Roman" w:eastAsia="Times New Roman" w:hAnsi="Times New Roman"/>
                <w:sz w:val="17"/>
                <w:szCs w:val="17"/>
                <w:color w:val="auto"/>
              </w:rPr>
              <w:t>19,640</w:t>
            </w:r>
          </w:p>
        </w:tc>
        <w:tc>
          <w:tcPr>
            <w:tcW w:w="8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1140" w:type="dxa"/>
            <w:vAlign w:val="bottom"/>
          </w:tcPr>
          <w:p>
            <w:pPr>
              <w:jc w:val="right"/>
              <w:spacing w:after="0" w:line="149" w:lineRule="exact"/>
              <w:rPr>
                <w:sz w:val="20"/>
                <w:szCs w:val="20"/>
                <w:color w:val="auto"/>
              </w:rPr>
            </w:pPr>
            <w:r>
              <w:rPr>
                <w:rFonts w:ascii="Times New Roman" w:cs="Times New Roman" w:eastAsia="Times New Roman" w:hAnsi="Times New Roman"/>
                <w:sz w:val="17"/>
                <w:szCs w:val="17"/>
                <w:color w:val="auto"/>
              </w:rPr>
              <w:t>19,640</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1"/>
        </w:trPr>
        <w:tc>
          <w:tcPr>
            <w:tcW w:w="5020" w:type="dxa"/>
            <w:vAlign w:val="bottom"/>
            <w:vMerge w:val="restart"/>
          </w:tcPr>
          <w:p>
            <w:pPr>
              <w:ind w:left="280"/>
              <w:spacing w:after="0" w:line="202" w:lineRule="exact"/>
              <w:rPr>
                <w:sz w:val="20"/>
                <w:szCs w:val="20"/>
                <w:color w:val="auto"/>
              </w:rPr>
            </w:pPr>
            <w:r>
              <w:rPr>
                <w:rFonts w:ascii="Times New Roman" w:cs="Times New Roman" w:eastAsia="Times New Roman" w:hAnsi="Times New Roman"/>
                <w:sz w:val="17"/>
                <w:szCs w:val="17"/>
                <w:b w:val="1"/>
                <w:bCs w:val="1"/>
                <w:color w:val="auto"/>
              </w:rPr>
              <w:t xml:space="preserve">Basic Shares Outstanding </w:t>
            </w:r>
            <w:r>
              <w:rPr>
                <w:rFonts w:ascii="Times New Roman" w:cs="Times New Roman" w:eastAsia="Times New Roman" w:hAnsi="Times New Roman"/>
                <w:sz w:val="23"/>
                <w:szCs w:val="23"/>
                <w:b w:val="1"/>
                <w:bCs w:val="1"/>
                <w:color w:val="auto"/>
                <w:vertAlign w:val="superscript"/>
              </w:rPr>
              <w:t>(1)</w:t>
            </w:r>
          </w:p>
        </w:tc>
        <w:tc>
          <w:tcPr>
            <w:tcW w:w="1700" w:type="dxa"/>
            <w:vAlign w:val="bottom"/>
            <w:tcBorders>
              <w:bottom w:val="single" w:sz="8" w:color="auto"/>
            </w:tcBorders>
          </w:tcPr>
          <w:p>
            <w:pPr>
              <w:spacing w:after="0"/>
              <w:rPr>
                <w:sz w:val="3"/>
                <w:szCs w:val="3"/>
                <w:color w:val="auto"/>
              </w:rPr>
            </w:pPr>
          </w:p>
        </w:tc>
        <w:tc>
          <w:tcPr>
            <w:tcW w:w="80" w:type="dxa"/>
            <w:vAlign w:val="bottom"/>
          </w:tcPr>
          <w:p>
            <w:pPr>
              <w:spacing w:after="0"/>
              <w:rPr>
                <w:sz w:val="3"/>
                <w:szCs w:val="3"/>
                <w:color w:val="auto"/>
              </w:rPr>
            </w:pPr>
          </w:p>
        </w:tc>
        <w:tc>
          <w:tcPr>
            <w:tcW w:w="580" w:type="dxa"/>
            <w:vAlign w:val="bottom"/>
            <w:tcBorders>
              <w:bottom w:val="single" w:sz="8" w:color="auto"/>
            </w:tcBorders>
          </w:tcPr>
          <w:p>
            <w:pPr>
              <w:spacing w:after="0"/>
              <w:rPr>
                <w:sz w:val="3"/>
                <w:szCs w:val="3"/>
                <w:color w:val="auto"/>
              </w:rPr>
            </w:pPr>
          </w:p>
        </w:tc>
        <w:tc>
          <w:tcPr>
            <w:tcW w:w="1140" w:type="dxa"/>
            <w:vAlign w:val="bottom"/>
            <w:tcBorders>
              <w:bottom w:val="single" w:sz="8" w:color="auto"/>
            </w:tcBorders>
          </w:tcPr>
          <w:p>
            <w:pPr>
              <w:spacing w:after="0"/>
              <w:rPr>
                <w:sz w:val="3"/>
                <w:szCs w:val="3"/>
                <w:color w:val="auto"/>
              </w:rPr>
            </w:pPr>
          </w:p>
        </w:tc>
        <w:tc>
          <w:tcPr>
            <w:tcW w:w="18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42"/>
        </w:trPr>
        <w:tc>
          <w:tcPr>
            <w:tcW w:w="5020" w:type="dxa"/>
            <w:vAlign w:val="bottom"/>
            <w:vMerge w:val="continue"/>
          </w:tcPr>
          <w:p>
            <w:pPr>
              <w:spacing w:after="0"/>
              <w:rPr>
                <w:sz w:val="12"/>
                <w:szCs w:val="12"/>
                <w:color w:val="auto"/>
              </w:rPr>
            </w:pPr>
          </w:p>
        </w:tc>
        <w:tc>
          <w:tcPr>
            <w:tcW w:w="1700" w:type="dxa"/>
            <w:vAlign w:val="bottom"/>
          </w:tcPr>
          <w:p>
            <w:pPr>
              <w:jc w:val="right"/>
              <w:spacing w:after="0" w:line="142" w:lineRule="exact"/>
              <w:rPr>
                <w:sz w:val="20"/>
                <w:szCs w:val="20"/>
                <w:color w:val="auto"/>
              </w:rPr>
            </w:pPr>
            <w:r>
              <w:rPr>
                <w:rFonts w:ascii="Times New Roman" w:cs="Times New Roman" w:eastAsia="Times New Roman" w:hAnsi="Times New Roman"/>
                <w:sz w:val="16"/>
                <w:szCs w:val="16"/>
                <w:color w:val="auto"/>
              </w:rPr>
              <w:t>245,778</w:t>
            </w:r>
          </w:p>
        </w:tc>
        <w:tc>
          <w:tcPr>
            <w:tcW w:w="8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1140" w:type="dxa"/>
            <w:vAlign w:val="bottom"/>
          </w:tcPr>
          <w:p>
            <w:pPr>
              <w:jc w:val="right"/>
              <w:spacing w:after="0" w:line="142" w:lineRule="exact"/>
              <w:rPr>
                <w:sz w:val="20"/>
                <w:szCs w:val="20"/>
                <w:color w:val="auto"/>
              </w:rPr>
            </w:pPr>
            <w:r>
              <w:rPr>
                <w:rFonts w:ascii="Times New Roman" w:cs="Times New Roman" w:eastAsia="Times New Roman" w:hAnsi="Times New Roman"/>
                <w:sz w:val="16"/>
                <w:szCs w:val="16"/>
                <w:color w:val="auto"/>
              </w:rPr>
              <w:t>260,286</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29"/>
        </w:trPr>
        <w:tc>
          <w:tcPr>
            <w:tcW w:w="502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2027 Convertible Shares @$143.25</w:t>
            </w:r>
          </w:p>
        </w:tc>
        <w:tc>
          <w:tcPr>
            <w:tcW w:w="1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80" w:type="dxa"/>
            <w:vAlign w:val="bottom"/>
          </w:tcPr>
          <w:p>
            <w:pPr>
              <w:spacing w:after="0"/>
              <w:rPr>
                <w:sz w:val="19"/>
                <w:szCs w:val="19"/>
                <w:color w:val="auto"/>
              </w:rPr>
            </w:pPr>
          </w:p>
        </w:tc>
        <w:tc>
          <w:tcPr>
            <w:tcW w:w="580" w:type="dxa"/>
            <w:vAlign w:val="bottom"/>
          </w:tcPr>
          <w:p>
            <w:pPr>
              <w:spacing w:after="0"/>
              <w:rPr>
                <w:sz w:val="19"/>
                <w:szCs w:val="19"/>
                <w:color w:val="auto"/>
              </w:rPr>
            </w:pPr>
          </w:p>
        </w:tc>
        <w:tc>
          <w:tcPr>
            <w:tcW w:w="1140" w:type="dxa"/>
            <w:vAlign w:val="bottom"/>
          </w:tcPr>
          <w:p>
            <w:pPr>
              <w:jc w:val="right"/>
              <w:spacing w:after="0" w:line="230" w:lineRule="exact"/>
              <w:rPr>
                <w:sz w:val="20"/>
                <w:szCs w:val="20"/>
                <w:color w:val="auto"/>
              </w:rPr>
            </w:pP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0"/>
                <w:szCs w:val="10"/>
                <w:color w:val="auto"/>
              </w:rPr>
              <w:t>(2)</w:t>
            </w:r>
          </w:p>
        </w:tc>
        <w:tc>
          <w:tcPr>
            <w:tcW w:w="18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280"/>
              <w:spacing w:after="0" w:line="189" w:lineRule="exact"/>
              <w:rPr>
                <w:sz w:val="20"/>
                <w:szCs w:val="20"/>
                <w:color w:val="auto"/>
              </w:rPr>
            </w:pPr>
            <w:r>
              <w:rPr>
                <w:rFonts w:ascii="Times New Roman" w:cs="Times New Roman" w:eastAsia="Times New Roman" w:hAnsi="Times New Roman"/>
                <w:sz w:val="18"/>
                <w:szCs w:val="18"/>
                <w:color w:val="auto"/>
              </w:rPr>
              <w:t>2028 Convertible Shares @$183.19</w:t>
            </w:r>
          </w:p>
        </w:tc>
        <w:tc>
          <w:tcPr>
            <w:tcW w:w="170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5,513</w:t>
            </w:r>
          </w:p>
        </w:tc>
        <w:tc>
          <w:tcPr>
            <w:tcW w:w="8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14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5,513</w:t>
            </w:r>
          </w:p>
        </w:tc>
        <w:tc>
          <w:tcPr>
            <w:tcW w:w="1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57"/>
        </w:trPr>
        <w:tc>
          <w:tcPr>
            <w:tcW w:w="5020" w:type="dxa"/>
            <w:vAlign w:val="bottom"/>
          </w:tcPr>
          <w:p>
            <w:pPr>
              <w:ind w:left="280"/>
              <w:spacing w:after="0" w:line="157" w:lineRule="exact"/>
              <w:rPr>
                <w:sz w:val="20"/>
                <w:szCs w:val="20"/>
                <w:color w:val="auto"/>
              </w:rPr>
            </w:pPr>
            <w:r>
              <w:rPr>
                <w:rFonts w:ascii="Times New Roman" w:cs="Times New Roman" w:eastAsia="Times New Roman" w:hAnsi="Times New Roman"/>
                <w:sz w:val="18"/>
                <w:szCs w:val="18"/>
                <w:color w:val="auto"/>
              </w:rPr>
              <w:t>2029 Convertible Shares @$672.40</w:t>
            </w:r>
          </w:p>
        </w:tc>
        <w:tc>
          <w:tcPr>
            <w:tcW w:w="1700" w:type="dxa"/>
            <w:vAlign w:val="bottom"/>
          </w:tcPr>
          <w:p>
            <w:pPr>
              <w:jc w:val="right"/>
              <w:spacing w:after="0" w:line="157" w:lineRule="exact"/>
              <w:rPr>
                <w:sz w:val="20"/>
                <w:szCs w:val="20"/>
                <w:color w:val="auto"/>
              </w:rPr>
            </w:pPr>
            <w:r>
              <w:rPr>
                <w:rFonts w:ascii="Times New Roman" w:cs="Times New Roman" w:eastAsia="Times New Roman" w:hAnsi="Times New Roman"/>
                <w:sz w:val="18"/>
                <w:szCs w:val="18"/>
                <w:color w:val="auto"/>
              </w:rPr>
              <w:t>4,462</w:t>
            </w:r>
          </w:p>
        </w:tc>
        <w:tc>
          <w:tcPr>
            <w:tcW w:w="8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1140" w:type="dxa"/>
            <w:vAlign w:val="bottom"/>
          </w:tcPr>
          <w:p>
            <w:pPr>
              <w:jc w:val="right"/>
              <w:spacing w:after="0" w:line="157" w:lineRule="exact"/>
              <w:rPr>
                <w:sz w:val="20"/>
                <w:szCs w:val="20"/>
                <w:color w:val="auto"/>
              </w:rPr>
            </w:pPr>
            <w:r>
              <w:rPr>
                <w:rFonts w:ascii="Times New Roman" w:cs="Times New Roman" w:eastAsia="Times New Roman" w:hAnsi="Times New Roman"/>
                <w:sz w:val="18"/>
                <w:szCs w:val="18"/>
                <w:color w:val="auto"/>
              </w:rPr>
              <w:t>4,462</w:t>
            </w:r>
          </w:p>
        </w:tc>
        <w:tc>
          <w:tcPr>
            <w:tcW w:w="18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80"/>
        </w:trPr>
        <w:tc>
          <w:tcPr>
            <w:tcW w:w="5020" w:type="dxa"/>
            <w:vAlign w:val="bottom"/>
          </w:tcPr>
          <w:p>
            <w:pPr>
              <w:ind w:left="280"/>
              <w:spacing w:after="0" w:line="181" w:lineRule="exact"/>
              <w:rPr>
                <w:sz w:val="20"/>
                <w:szCs w:val="20"/>
                <w:color w:val="auto"/>
              </w:rPr>
            </w:pPr>
            <w:r>
              <w:rPr>
                <w:rFonts w:ascii="Times New Roman" w:cs="Times New Roman" w:eastAsia="Times New Roman" w:hAnsi="Times New Roman"/>
                <w:sz w:val="18"/>
                <w:szCs w:val="18"/>
                <w:color w:val="auto"/>
              </w:rPr>
              <w:t>2030 Convertible Shares @$149.77</w:t>
            </w:r>
          </w:p>
        </w:tc>
        <w:tc>
          <w:tcPr>
            <w:tcW w:w="1700" w:type="dxa"/>
            <w:vAlign w:val="bottom"/>
          </w:tcPr>
          <w:p>
            <w:pPr>
              <w:jc w:val="right"/>
              <w:spacing w:after="0" w:line="181" w:lineRule="exact"/>
              <w:rPr>
                <w:sz w:val="20"/>
                <w:szCs w:val="20"/>
                <w:color w:val="auto"/>
              </w:rPr>
            </w:pPr>
            <w:r>
              <w:rPr>
                <w:rFonts w:ascii="Times New Roman" w:cs="Times New Roman" w:eastAsia="Times New Roman" w:hAnsi="Times New Roman"/>
                <w:sz w:val="18"/>
                <w:szCs w:val="18"/>
                <w:color w:val="auto"/>
              </w:rPr>
              <w:t>5,342</w:t>
            </w:r>
          </w:p>
        </w:tc>
        <w:tc>
          <w:tcPr>
            <w:tcW w:w="8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1140" w:type="dxa"/>
            <w:vAlign w:val="bottom"/>
          </w:tcPr>
          <w:p>
            <w:pPr>
              <w:jc w:val="right"/>
              <w:spacing w:after="0" w:line="181" w:lineRule="exact"/>
              <w:rPr>
                <w:sz w:val="20"/>
                <w:szCs w:val="20"/>
                <w:color w:val="auto"/>
              </w:rPr>
            </w:pPr>
            <w:r>
              <w:rPr>
                <w:rFonts w:ascii="Times New Roman" w:cs="Times New Roman" w:eastAsia="Times New Roman" w:hAnsi="Times New Roman"/>
                <w:sz w:val="18"/>
                <w:szCs w:val="18"/>
                <w:color w:val="auto"/>
              </w:rPr>
              <w:t>5,342</w:t>
            </w: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29"/>
        </w:trPr>
        <w:tc>
          <w:tcPr>
            <w:tcW w:w="5020" w:type="dxa"/>
            <w:vAlign w:val="bottom"/>
          </w:tcPr>
          <w:p>
            <w:pPr>
              <w:ind w:left="280"/>
              <w:spacing w:after="0"/>
              <w:rPr>
                <w:sz w:val="20"/>
                <w:szCs w:val="20"/>
                <w:color w:val="auto"/>
              </w:rPr>
            </w:pPr>
            <w:r>
              <w:rPr>
                <w:rFonts w:ascii="Times New Roman" w:cs="Times New Roman" w:eastAsia="Times New Roman" w:hAnsi="Times New Roman"/>
                <w:sz w:val="18"/>
                <w:szCs w:val="18"/>
                <w:color w:val="auto"/>
              </w:rPr>
              <w:t>2030 Convertible Shares @$433.43</w:t>
            </w:r>
          </w:p>
        </w:tc>
        <w:tc>
          <w:tcPr>
            <w:tcW w:w="1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0" w:type="dxa"/>
            <w:vAlign w:val="bottom"/>
          </w:tcPr>
          <w:p>
            <w:pPr>
              <w:spacing w:after="0"/>
              <w:rPr>
                <w:sz w:val="19"/>
                <w:szCs w:val="19"/>
                <w:color w:val="auto"/>
              </w:rPr>
            </w:pPr>
          </w:p>
        </w:tc>
        <w:tc>
          <w:tcPr>
            <w:tcW w:w="580" w:type="dxa"/>
            <w:vAlign w:val="bottom"/>
          </w:tcPr>
          <w:p>
            <w:pPr>
              <w:spacing w:after="0"/>
              <w:rPr>
                <w:sz w:val="19"/>
                <w:szCs w:val="19"/>
                <w:color w:val="auto"/>
              </w:rPr>
            </w:pPr>
          </w:p>
        </w:tc>
        <w:tc>
          <w:tcPr>
            <w:tcW w:w="1140" w:type="dxa"/>
            <w:vAlign w:val="bottom"/>
          </w:tcPr>
          <w:p>
            <w:pPr>
              <w:jc w:val="right"/>
              <w:spacing w:after="0" w:line="229" w:lineRule="exact"/>
              <w:rPr>
                <w:sz w:val="20"/>
                <w:szCs w:val="20"/>
                <w:color w:val="auto"/>
              </w:rPr>
            </w:pPr>
            <w:r>
              <w:rPr>
                <w:rFonts w:ascii="Times New Roman" w:cs="Times New Roman" w:eastAsia="Times New Roman" w:hAnsi="Times New Roman"/>
                <w:sz w:val="18"/>
                <w:szCs w:val="18"/>
                <w:color w:val="auto"/>
              </w:rPr>
              <w:t>4,614</w:t>
            </w:r>
            <w:r>
              <w:rPr>
                <w:rFonts w:ascii="Times New Roman" w:cs="Times New Roman" w:eastAsia="Times New Roman" w:hAnsi="Times New Roman"/>
                <w:sz w:val="24"/>
                <w:szCs w:val="24"/>
                <w:color w:val="auto"/>
                <w:vertAlign w:val="superscript"/>
              </w:rPr>
              <w:t>(3)</w:t>
            </w:r>
          </w:p>
        </w:tc>
        <w:tc>
          <w:tcPr>
            <w:tcW w:w="18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280"/>
              <w:spacing w:after="0" w:line="189" w:lineRule="exact"/>
              <w:rPr>
                <w:sz w:val="20"/>
                <w:szCs w:val="20"/>
                <w:color w:val="auto"/>
              </w:rPr>
            </w:pPr>
            <w:r>
              <w:rPr>
                <w:rFonts w:ascii="Times New Roman" w:cs="Times New Roman" w:eastAsia="Times New Roman" w:hAnsi="Times New Roman"/>
                <w:sz w:val="18"/>
                <w:szCs w:val="18"/>
                <w:color w:val="auto"/>
              </w:rPr>
              <w:t>2031 Convertible Shares @$232.72</w:t>
            </w:r>
          </w:p>
        </w:tc>
        <w:tc>
          <w:tcPr>
            <w:tcW w:w="170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2,594</w:t>
            </w:r>
          </w:p>
        </w:tc>
        <w:tc>
          <w:tcPr>
            <w:tcW w:w="8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14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2,594</w:t>
            </w:r>
          </w:p>
        </w:tc>
        <w:tc>
          <w:tcPr>
            <w:tcW w:w="1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020" w:type="dxa"/>
            <w:vAlign w:val="bottom"/>
          </w:tcPr>
          <w:p>
            <w:pPr>
              <w:ind w:left="280"/>
              <w:spacing w:after="0" w:line="189" w:lineRule="exact"/>
              <w:rPr>
                <w:sz w:val="20"/>
                <w:szCs w:val="20"/>
                <w:color w:val="auto"/>
              </w:rPr>
            </w:pPr>
            <w:r>
              <w:rPr>
                <w:rFonts w:ascii="Times New Roman" w:cs="Times New Roman" w:eastAsia="Times New Roman" w:hAnsi="Times New Roman"/>
                <w:sz w:val="18"/>
                <w:szCs w:val="18"/>
                <w:color w:val="auto"/>
              </w:rPr>
              <w:t>2032 Convertible Shares @$204.33</w:t>
            </w:r>
          </w:p>
        </w:tc>
        <w:tc>
          <w:tcPr>
            <w:tcW w:w="1700" w:type="dxa"/>
            <w:vAlign w:val="bottom"/>
          </w:tcPr>
          <w:p>
            <w:pPr>
              <w:jc w:val="right"/>
              <w:spacing w:after="0" w:line="189" w:lineRule="exact"/>
              <w:rPr>
                <w:sz w:val="20"/>
                <w:szCs w:val="20"/>
                <w:color w:val="auto"/>
              </w:rPr>
            </w:pPr>
            <w:r>
              <w:rPr>
                <w:rFonts w:ascii="Times New Roman" w:cs="Times New Roman" w:eastAsia="Times New Roman" w:hAnsi="Times New Roman"/>
                <w:sz w:val="18"/>
                <w:szCs w:val="18"/>
                <w:color w:val="auto"/>
              </w:rPr>
              <w:t>3,915</w:t>
            </w:r>
          </w:p>
        </w:tc>
        <w:tc>
          <w:tcPr>
            <w:tcW w:w="8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1140" w:type="dxa"/>
            <w:vAlign w:val="bottom"/>
          </w:tcPr>
          <w:p>
            <w:pPr>
              <w:jc w:val="right"/>
              <w:spacing w:after="0" w:line="189" w:lineRule="exact"/>
              <w:rPr>
                <w:sz w:val="20"/>
                <w:szCs w:val="20"/>
                <w:color w:val="auto"/>
              </w:rPr>
            </w:pPr>
            <w:r>
              <w:rPr>
                <w:rFonts w:ascii="Times New Roman" w:cs="Times New Roman" w:eastAsia="Times New Roman" w:hAnsi="Times New Roman"/>
                <w:sz w:val="18"/>
                <w:szCs w:val="18"/>
                <w:color w:val="auto"/>
              </w:rPr>
              <w:t>3,915</w:t>
            </w:r>
          </w:p>
        </w:tc>
        <w:tc>
          <w:tcPr>
            <w:tcW w:w="1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280"/>
              <w:spacing w:after="0" w:line="189" w:lineRule="exact"/>
              <w:rPr>
                <w:sz w:val="20"/>
                <w:szCs w:val="20"/>
                <w:color w:val="auto"/>
              </w:rPr>
            </w:pPr>
            <w:r>
              <w:rPr>
                <w:rFonts w:ascii="Times New Roman" w:cs="Times New Roman" w:eastAsia="Times New Roman" w:hAnsi="Times New Roman"/>
                <w:sz w:val="18"/>
                <w:szCs w:val="18"/>
                <w:color w:val="auto"/>
              </w:rPr>
              <w:t>STRK Convertible Shares @$1,000.00</w:t>
            </w:r>
          </w:p>
        </w:tc>
        <w:tc>
          <w:tcPr>
            <w:tcW w:w="170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w:t>
            </w:r>
          </w:p>
        </w:tc>
        <w:tc>
          <w:tcPr>
            <w:tcW w:w="8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14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730</w:t>
            </w:r>
          </w:p>
        </w:tc>
        <w:tc>
          <w:tcPr>
            <w:tcW w:w="1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57"/>
        </w:trPr>
        <w:tc>
          <w:tcPr>
            <w:tcW w:w="5020" w:type="dxa"/>
            <w:vAlign w:val="bottom"/>
          </w:tcPr>
          <w:p>
            <w:pPr>
              <w:ind w:left="280"/>
              <w:spacing w:after="0" w:line="157" w:lineRule="exact"/>
              <w:rPr>
                <w:sz w:val="20"/>
                <w:szCs w:val="20"/>
                <w:color w:val="auto"/>
              </w:rPr>
            </w:pPr>
            <w:r>
              <w:rPr>
                <w:rFonts w:ascii="Times New Roman" w:cs="Times New Roman" w:eastAsia="Times New Roman" w:hAnsi="Times New Roman"/>
                <w:sz w:val="18"/>
                <w:szCs w:val="18"/>
                <w:color w:val="auto"/>
              </w:rPr>
              <w:t>Options Outstanding</w:t>
            </w:r>
          </w:p>
        </w:tc>
        <w:tc>
          <w:tcPr>
            <w:tcW w:w="1700" w:type="dxa"/>
            <w:vAlign w:val="bottom"/>
          </w:tcPr>
          <w:p>
            <w:pPr>
              <w:jc w:val="right"/>
              <w:spacing w:after="0" w:line="157" w:lineRule="exact"/>
              <w:rPr>
                <w:sz w:val="20"/>
                <w:szCs w:val="20"/>
                <w:color w:val="auto"/>
              </w:rPr>
            </w:pPr>
            <w:r>
              <w:rPr>
                <w:rFonts w:ascii="Times New Roman" w:cs="Times New Roman" w:eastAsia="Times New Roman" w:hAnsi="Times New Roman"/>
                <w:sz w:val="18"/>
                <w:szCs w:val="18"/>
                <w:color w:val="auto"/>
              </w:rPr>
              <w:t>4,956</w:t>
            </w:r>
          </w:p>
        </w:tc>
        <w:tc>
          <w:tcPr>
            <w:tcW w:w="8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1140" w:type="dxa"/>
            <w:vAlign w:val="bottom"/>
          </w:tcPr>
          <w:p>
            <w:pPr>
              <w:jc w:val="right"/>
              <w:spacing w:after="0" w:line="157" w:lineRule="exact"/>
              <w:rPr>
                <w:sz w:val="20"/>
                <w:szCs w:val="20"/>
                <w:color w:val="auto"/>
              </w:rPr>
            </w:pPr>
            <w:r>
              <w:rPr>
                <w:rFonts w:ascii="Times New Roman" w:cs="Times New Roman" w:eastAsia="Times New Roman" w:hAnsi="Times New Roman"/>
                <w:sz w:val="18"/>
                <w:szCs w:val="18"/>
                <w:color w:val="auto"/>
              </w:rPr>
              <w:t>4,820</w:t>
            </w:r>
          </w:p>
        </w:tc>
        <w:tc>
          <w:tcPr>
            <w:tcW w:w="18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80"/>
        </w:trPr>
        <w:tc>
          <w:tcPr>
            <w:tcW w:w="5020" w:type="dxa"/>
            <w:vAlign w:val="bottom"/>
          </w:tcPr>
          <w:p>
            <w:pPr>
              <w:ind w:left="280"/>
              <w:spacing w:after="0" w:line="181" w:lineRule="exact"/>
              <w:rPr>
                <w:sz w:val="20"/>
                <w:szCs w:val="20"/>
                <w:color w:val="auto"/>
              </w:rPr>
            </w:pPr>
            <w:r>
              <w:rPr>
                <w:rFonts w:ascii="Times New Roman" w:cs="Times New Roman" w:eastAsia="Times New Roman" w:hAnsi="Times New Roman"/>
                <w:sz w:val="18"/>
                <w:szCs w:val="18"/>
                <w:color w:val="auto"/>
              </w:rPr>
              <w:t>RSU/PSU Unvested</w:t>
            </w:r>
          </w:p>
        </w:tc>
        <w:tc>
          <w:tcPr>
            <w:tcW w:w="1700" w:type="dxa"/>
            <w:vAlign w:val="bottom"/>
          </w:tcPr>
          <w:p>
            <w:pPr>
              <w:jc w:val="right"/>
              <w:spacing w:after="0" w:line="181" w:lineRule="exact"/>
              <w:rPr>
                <w:sz w:val="20"/>
                <w:szCs w:val="20"/>
                <w:color w:val="auto"/>
              </w:rPr>
            </w:pPr>
            <w:r>
              <w:rPr>
                <w:rFonts w:ascii="Times New Roman" w:cs="Times New Roman" w:eastAsia="Times New Roman" w:hAnsi="Times New Roman"/>
                <w:sz w:val="18"/>
                <w:szCs w:val="18"/>
                <w:color w:val="auto"/>
              </w:rPr>
              <w:t>1,845</w:t>
            </w:r>
          </w:p>
        </w:tc>
        <w:tc>
          <w:tcPr>
            <w:tcW w:w="8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1140" w:type="dxa"/>
            <w:vAlign w:val="bottom"/>
          </w:tcPr>
          <w:p>
            <w:pPr>
              <w:jc w:val="right"/>
              <w:spacing w:after="0" w:line="181" w:lineRule="exact"/>
              <w:rPr>
                <w:sz w:val="20"/>
                <w:szCs w:val="20"/>
                <w:color w:val="auto"/>
              </w:rPr>
            </w:pPr>
            <w:r>
              <w:rPr>
                <w:rFonts w:ascii="Times New Roman" w:cs="Times New Roman" w:eastAsia="Times New Roman" w:hAnsi="Times New Roman"/>
                <w:sz w:val="18"/>
                <w:szCs w:val="18"/>
                <w:color w:val="auto"/>
              </w:rPr>
              <w:t>1,787</w:t>
            </w: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5020" w:type="dxa"/>
            <w:vAlign w:val="bottom"/>
            <w:vMerge w:val="restart"/>
          </w:tcPr>
          <w:p>
            <w:pPr>
              <w:ind w:left="280"/>
              <w:spacing w:after="0" w:line="243" w:lineRule="exact"/>
              <w:rPr>
                <w:sz w:val="20"/>
                <w:szCs w:val="20"/>
                <w:color w:val="auto"/>
              </w:rPr>
            </w:pPr>
            <w:r>
              <w:rPr>
                <w:rFonts w:ascii="Times New Roman" w:cs="Times New Roman" w:eastAsia="Times New Roman" w:hAnsi="Times New Roman"/>
                <w:sz w:val="18"/>
                <w:szCs w:val="18"/>
                <w:b w:val="1"/>
                <w:bCs w:val="1"/>
                <w:color w:val="auto"/>
              </w:rPr>
              <w:t xml:space="preserve">Assumed Diluted Shares Outstanding </w:t>
            </w:r>
            <w:r>
              <w:rPr>
                <w:rFonts w:ascii="Times New Roman" w:cs="Times New Roman" w:eastAsia="Times New Roman" w:hAnsi="Times New Roman"/>
                <w:sz w:val="24"/>
                <w:szCs w:val="24"/>
                <w:b w:val="1"/>
                <w:bCs w:val="1"/>
                <w:color w:val="auto"/>
                <w:vertAlign w:val="superscript"/>
              </w:rPr>
              <w:t>(4)</w:t>
            </w:r>
          </w:p>
        </w:tc>
        <w:tc>
          <w:tcPr>
            <w:tcW w:w="1700" w:type="dxa"/>
            <w:vAlign w:val="bottom"/>
            <w:tcBorders>
              <w:bottom w:val="single" w:sz="8" w:color="auto"/>
            </w:tcBorders>
          </w:tcPr>
          <w:p>
            <w:pPr>
              <w:spacing w:after="0"/>
              <w:rPr>
                <w:sz w:val="3"/>
                <w:szCs w:val="3"/>
                <w:color w:val="auto"/>
              </w:rPr>
            </w:pPr>
          </w:p>
        </w:tc>
        <w:tc>
          <w:tcPr>
            <w:tcW w:w="80" w:type="dxa"/>
            <w:vAlign w:val="bottom"/>
          </w:tcPr>
          <w:p>
            <w:pPr>
              <w:spacing w:after="0"/>
              <w:rPr>
                <w:sz w:val="3"/>
                <w:szCs w:val="3"/>
                <w:color w:val="auto"/>
              </w:rPr>
            </w:pPr>
          </w:p>
        </w:tc>
        <w:tc>
          <w:tcPr>
            <w:tcW w:w="580" w:type="dxa"/>
            <w:vAlign w:val="bottom"/>
            <w:tcBorders>
              <w:bottom w:val="single" w:sz="8" w:color="auto"/>
            </w:tcBorders>
          </w:tcPr>
          <w:p>
            <w:pPr>
              <w:spacing w:after="0"/>
              <w:rPr>
                <w:sz w:val="3"/>
                <w:szCs w:val="3"/>
                <w:color w:val="auto"/>
              </w:rPr>
            </w:pPr>
          </w:p>
        </w:tc>
        <w:tc>
          <w:tcPr>
            <w:tcW w:w="1140" w:type="dxa"/>
            <w:vAlign w:val="bottom"/>
            <w:tcBorders>
              <w:bottom w:val="single" w:sz="8" w:color="auto"/>
            </w:tcBorders>
          </w:tcPr>
          <w:p>
            <w:pPr>
              <w:spacing w:after="0"/>
              <w:rPr>
                <w:sz w:val="3"/>
                <w:szCs w:val="3"/>
                <w:color w:val="auto"/>
              </w:rPr>
            </w:pPr>
          </w:p>
        </w:tc>
        <w:tc>
          <w:tcPr>
            <w:tcW w:w="18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83"/>
        </w:trPr>
        <w:tc>
          <w:tcPr>
            <w:tcW w:w="5020" w:type="dxa"/>
            <w:vAlign w:val="bottom"/>
            <w:vMerge w:val="continue"/>
          </w:tcPr>
          <w:p>
            <w:pPr>
              <w:spacing w:after="0"/>
              <w:rPr>
                <w:sz w:val="15"/>
                <w:szCs w:val="15"/>
                <w:color w:val="auto"/>
              </w:rPr>
            </w:pPr>
          </w:p>
        </w:tc>
        <w:tc>
          <w:tcPr>
            <w:tcW w:w="1700" w:type="dxa"/>
            <w:vAlign w:val="bottom"/>
          </w:tcPr>
          <w:p>
            <w:pPr>
              <w:jc w:val="right"/>
              <w:spacing w:after="0" w:line="182" w:lineRule="exact"/>
              <w:rPr>
                <w:sz w:val="20"/>
                <w:szCs w:val="20"/>
                <w:color w:val="auto"/>
              </w:rPr>
            </w:pPr>
            <w:r>
              <w:rPr>
                <w:rFonts w:ascii="Times New Roman" w:cs="Times New Roman" w:eastAsia="Times New Roman" w:hAnsi="Times New Roman"/>
                <w:sz w:val="18"/>
                <w:szCs w:val="18"/>
                <w:color w:val="auto"/>
              </w:rPr>
              <w:t>281,735</w:t>
            </w:r>
          </w:p>
        </w:tc>
        <w:tc>
          <w:tcPr>
            <w:tcW w:w="8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1140" w:type="dxa"/>
            <w:vAlign w:val="bottom"/>
          </w:tcPr>
          <w:p>
            <w:pPr>
              <w:jc w:val="right"/>
              <w:spacing w:after="0" w:line="182" w:lineRule="exact"/>
              <w:rPr>
                <w:sz w:val="20"/>
                <w:szCs w:val="20"/>
                <w:color w:val="auto"/>
              </w:rPr>
            </w:pPr>
            <w:r>
              <w:rPr>
                <w:rFonts w:ascii="Times New Roman" w:cs="Times New Roman" w:eastAsia="Times New Roman" w:hAnsi="Times New Roman"/>
                <w:sz w:val="18"/>
                <w:szCs w:val="18"/>
                <w:color w:val="auto"/>
              </w:rPr>
              <w:t>294,063</w:t>
            </w: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100"/>
              <w:spacing w:after="0" w:line="189" w:lineRule="exact"/>
              <w:rPr>
                <w:sz w:val="20"/>
                <w:szCs w:val="20"/>
                <w:color w:val="auto"/>
              </w:rPr>
            </w:pPr>
            <w:r>
              <w:rPr>
                <w:rFonts w:ascii="Times New Roman" w:cs="Times New Roman" w:eastAsia="Times New Roman" w:hAnsi="Times New Roman"/>
                <w:sz w:val="18"/>
                <w:szCs w:val="18"/>
                <w:b w:val="1"/>
                <w:bCs w:val="1"/>
                <w:color w:val="auto"/>
              </w:rPr>
              <w:t>BTC Yield % (Year to Date)</w:t>
            </w:r>
          </w:p>
        </w:tc>
        <w:tc>
          <w:tcPr>
            <w:tcW w:w="170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320" w:type="dxa"/>
            <w:vAlign w:val="bottom"/>
            <w:gridSpan w:val="2"/>
            <w:shd w:val="clear" w:color="auto" w:fill="CFF0FC"/>
          </w:tcPr>
          <w:p>
            <w:pPr>
              <w:jc w:val="right"/>
              <w:ind w:right="20"/>
              <w:spacing w:after="0" w:line="189" w:lineRule="exact"/>
              <w:rPr>
                <w:sz w:val="20"/>
                <w:szCs w:val="20"/>
                <w:color w:val="auto"/>
              </w:rPr>
            </w:pPr>
            <w:r>
              <w:rPr>
                <w:rFonts w:ascii="Times New Roman" w:cs="Times New Roman" w:eastAsia="Times New Roman" w:hAnsi="Times New Roman"/>
                <w:sz w:val="18"/>
                <w:szCs w:val="18"/>
                <w:color w:val="auto"/>
              </w:rPr>
              <w:t>6.9 %</w:t>
            </w:r>
          </w:p>
        </w:tc>
        <w:tc>
          <w:tcPr>
            <w:tcW w:w="0" w:type="dxa"/>
            <w:vAlign w:val="bottom"/>
          </w:tcPr>
          <w:p>
            <w:pPr>
              <w:spacing w:after="0"/>
              <w:rPr>
                <w:sz w:val="1"/>
                <w:szCs w:val="1"/>
                <w:color w:val="auto"/>
              </w:rPr>
            </w:pPr>
          </w:p>
        </w:tc>
      </w:tr>
      <w:tr>
        <w:trPr>
          <w:trHeight w:val="189"/>
        </w:trPr>
        <w:tc>
          <w:tcPr>
            <w:tcW w:w="5020" w:type="dxa"/>
            <w:vAlign w:val="bottom"/>
          </w:tcPr>
          <w:p>
            <w:pPr>
              <w:ind w:left="100"/>
              <w:spacing w:after="0" w:line="189" w:lineRule="exact"/>
              <w:rPr>
                <w:sz w:val="20"/>
                <w:szCs w:val="20"/>
                <w:color w:val="auto"/>
              </w:rPr>
            </w:pPr>
            <w:r>
              <w:rPr>
                <w:rFonts w:ascii="Times New Roman" w:cs="Times New Roman" w:eastAsia="Times New Roman" w:hAnsi="Times New Roman"/>
                <w:sz w:val="18"/>
                <w:szCs w:val="18"/>
                <w:b w:val="1"/>
                <w:bCs w:val="1"/>
                <w:color w:val="auto"/>
              </w:rPr>
              <w:t>BTC Gain (Year to Date)</w:t>
            </w:r>
          </w:p>
        </w:tc>
        <w:tc>
          <w:tcPr>
            <w:tcW w:w="170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1140" w:type="dxa"/>
            <w:vAlign w:val="bottom"/>
          </w:tcPr>
          <w:p>
            <w:pPr>
              <w:jc w:val="right"/>
              <w:spacing w:after="0" w:line="189" w:lineRule="exact"/>
              <w:rPr>
                <w:sz w:val="20"/>
                <w:szCs w:val="20"/>
                <w:color w:val="auto"/>
              </w:rPr>
            </w:pPr>
            <w:r>
              <w:rPr>
                <w:rFonts w:ascii="Times New Roman" w:cs="Times New Roman" w:eastAsia="Times New Roman" w:hAnsi="Times New Roman"/>
                <w:sz w:val="18"/>
                <w:szCs w:val="18"/>
                <w:color w:val="auto"/>
              </w:rPr>
              <w:t>30,702</w:t>
            </w:r>
          </w:p>
        </w:tc>
        <w:tc>
          <w:tcPr>
            <w:tcW w:w="1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020" w:type="dxa"/>
            <w:vAlign w:val="bottom"/>
            <w:shd w:val="clear" w:color="auto" w:fill="CFF0FC"/>
          </w:tcPr>
          <w:p>
            <w:pPr>
              <w:ind w:left="100"/>
              <w:spacing w:after="0" w:line="189" w:lineRule="exact"/>
              <w:rPr>
                <w:sz w:val="20"/>
                <w:szCs w:val="20"/>
                <w:color w:val="auto"/>
              </w:rPr>
            </w:pPr>
            <w:r>
              <w:rPr>
                <w:rFonts w:ascii="Times New Roman" w:cs="Times New Roman" w:eastAsia="Times New Roman" w:hAnsi="Times New Roman"/>
                <w:sz w:val="18"/>
                <w:szCs w:val="18"/>
                <w:b w:val="1"/>
                <w:bCs w:val="1"/>
                <w:color w:val="auto"/>
              </w:rPr>
              <w:t>BTC $ Gain (Year to Date) (in millions)</w:t>
            </w:r>
          </w:p>
        </w:tc>
        <w:tc>
          <w:tcPr>
            <w:tcW w:w="1700" w:type="dxa"/>
            <w:vAlign w:val="bottom"/>
            <w:shd w:val="clear" w:color="auto" w:fill="CFF0FC"/>
          </w:tcPr>
          <w:p>
            <w:pPr>
              <w:spacing w:after="0"/>
              <w:rPr>
                <w:sz w:val="16"/>
                <w:szCs w:val="16"/>
                <w:color w:val="auto"/>
              </w:rPr>
            </w:pPr>
          </w:p>
        </w:tc>
        <w:tc>
          <w:tcPr>
            <w:tcW w:w="660" w:type="dxa"/>
            <w:vAlign w:val="bottom"/>
            <w:gridSpan w:val="2"/>
            <w:shd w:val="clear" w:color="auto" w:fill="CFF0FC"/>
          </w:tcPr>
          <w:p>
            <w:pPr>
              <w:jc w:val="right"/>
              <w:ind w:right="460"/>
              <w:spacing w:after="0" w:line="189" w:lineRule="exact"/>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line="189" w:lineRule="exact"/>
              <w:rPr>
                <w:sz w:val="20"/>
                <w:szCs w:val="20"/>
                <w:color w:val="auto"/>
              </w:rPr>
            </w:pPr>
            <w:r>
              <w:rPr>
                <w:rFonts w:ascii="Times New Roman" w:cs="Times New Roman" w:eastAsia="Times New Roman" w:hAnsi="Times New Roman"/>
                <w:sz w:val="18"/>
                <w:szCs w:val="18"/>
                <w:color w:val="auto"/>
              </w:rPr>
              <w:t>2,941</w:t>
            </w:r>
          </w:p>
        </w:tc>
        <w:tc>
          <w:tcPr>
            <w:tcW w:w="1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185420</wp:posOffset>
            </wp:positionH>
            <wp:positionV relativeFrom="paragraph">
              <wp:posOffset>-1807845</wp:posOffset>
            </wp:positionV>
            <wp:extent cx="5528945" cy="1200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5528945" cy="120015"/>
                    </a:xfrm>
                    <a:prstGeom prst="rect">
                      <a:avLst/>
                    </a:prstGeom>
                    <a:noFill/>
                  </pic:spPr>
                </pic:pic>
              </a:graphicData>
            </a:graphic>
          </wp:anchor>
        </w:drawing>
        <w:drawing>
          <wp:anchor simplePos="0" relativeHeight="251657728" behindDoc="1" locked="0" layoutInCell="0" allowOverlap="1">
            <wp:simplePos x="0" y="0"/>
            <wp:positionH relativeFrom="column">
              <wp:posOffset>185420</wp:posOffset>
            </wp:positionH>
            <wp:positionV relativeFrom="paragraph">
              <wp:posOffset>-1328420</wp:posOffset>
            </wp:positionV>
            <wp:extent cx="5528945" cy="1200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5528945" cy="120015"/>
                    </a:xfrm>
                    <a:prstGeom prst="rect">
                      <a:avLst/>
                    </a:prstGeom>
                    <a:noFill/>
                  </pic:spPr>
                </pic:pic>
              </a:graphicData>
            </a:graphic>
          </wp:anchor>
        </w:drawing>
        <w:drawing>
          <wp:anchor simplePos="0" relativeHeight="251657728" behindDoc="1" locked="0" layoutInCell="0" allowOverlap="1">
            <wp:simplePos x="0" y="0"/>
            <wp:positionH relativeFrom="column">
              <wp:posOffset>185420</wp:posOffset>
            </wp:positionH>
            <wp:positionV relativeFrom="paragraph">
              <wp:posOffset>-607695</wp:posOffset>
            </wp:positionV>
            <wp:extent cx="5528945" cy="12890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5528945" cy="128905"/>
                    </a:xfrm>
                    <a:prstGeom prst="rect">
                      <a:avLst/>
                    </a:prstGeom>
                    <a:noFill/>
                  </pic:spPr>
                </pic:pic>
              </a:graphicData>
            </a:graphic>
          </wp:anchor>
        </w:drawing>
      </w:r>
    </w:p>
    <w:p>
      <w:pPr>
        <w:spacing w:after="0" w:line="272" w:lineRule="exact"/>
        <w:rPr>
          <w:sz w:val="20"/>
          <w:szCs w:val="20"/>
          <w:color w:val="auto"/>
        </w:rPr>
      </w:pPr>
    </w:p>
    <w:p>
      <w:pPr>
        <w:jc w:val="both"/>
        <w:ind w:left="1180" w:right="19" w:hanging="448"/>
        <w:spacing w:after="0" w:line="247" w:lineRule="auto"/>
        <w:tabs>
          <w:tab w:leader="none" w:pos="118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common stock and class B common stock outstanding as of the dates presented. For purposes of this calculation, outstanding shares of such stock are deemed to include shares, if any, that (A) were sold under at-the-market equity offering programs, or (B) were to be issued pursuant to (i) options that had been exercised, (ii) restricted stock units that have vested or (iii) conversion requests received with respect to the convertible notes, but which in each case were pending issuance as of the dates presented.</w:t>
      </w:r>
    </w:p>
    <w:p>
      <w:pPr>
        <w:spacing w:after="0" w:line="71" w:lineRule="exact"/>
        <w:rPr>
          <w:rFonts w:ascii="Times New Roman" w:cs="Times New Roman" w:eastAsia="Times New Roman" w:hAnsi="Times New Roman"/>
          <w:sz w:val="18"/>
          <w:szCs w:val="18"/>
          <w:color w:val="auto"/>
        </w:rPr>
      </w:pPr>
    </w:p>
    <w:p>
      <w:pPr>
        <w:jc w:val="both"/>
        <w:ind w:left="1180" w:right="19" w:hanging="448"/>
        <w:spacing w:after="0" w:line="243" w:lineRule="auto"/>
        <w:tabs>
          <w:tab w:leader="none" w:pos="118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January 24, 2025, the Company delivered a notice of full redemption (the “Notice”) to the trustee of the Company’s 0.0% Convertible Senior Notes due 2027 in the total original principal amount of $1.05 billion (the “2027 Convertible Notes”). The Notice calls for the redemption of all of the outstanding 2027 Convertible Notes on February 24, 2025 (the “Redemption Date”), at a redemption price equal to 100% of the principal amount of the 2027 Convertible Notes to be redeemed, plus accrued and unpaid special interest, if any, to but excluding the Redemption Date, unless earlier converted. As of February 20, 2025, the deadline for noteholders to submit conversion requests pursuant to the Notice, the Company has received conversion requests for substantially all of the $1.050 billion in principal amount of the 2027 Convertible Notes, which equates to the issuance upon settlement of 7,373,528 Shares in the aggregate, all of which are reflected in basic class A common stock outstanding as of February 23, 2025.</w:t>
      </w:r>
    </w:p>
    <w:p>
      <w:pPr>
        <w:spacing w:after="0" w:line="77" w:lineRule="exact"/>
        <w:rPr>
          <w:rFonts w:ascii="Times New Roman" w:cs="Times New Roman" w:eastAsia="Times New Roman" w:hAnsi="Times New Roman"/>
          <w:sz w:val="18"/>
          <w:szCs w:val="18"/>
          <w:color w:val="auto"/>
        </w:rPr>
      </w:pPr>
    </w:p>
    <w:p>
      <w:pPr>
        <w:jc w:val="both"/>
        <w:ind w:left="1180" w:right="19" w:hanging="448"/>
        <w:spacing w:after="0" w:line="258" w:lineRule="auto"/>
        <w:tabs>
          <w:tab w:leader="none" w:pos="118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Does not include shares issuable upon conversion of the 2030 Convertible Notes that may be issued if the initial purchasers exercise their option to purchase $300.0 million of additional 2030 Convertible Notes in connection with the Convertible Notes Offering completed on February 21, 2025.</w:t>
      </w:r>
    </w:p>
    <w:p>
      <w:pPr>
        <w:spacing w:after="0" w:line="61" w:lineRule="exact"/>
        <w:rPr>
          <w:rFonts w:ascii="Times New Roman" w:cs="Times New Roman" w:eastAsia="Times New Roman" w:hAnsi="Times New Roman"/>
          <w:sz w:val="18"/>
          <w:szCs w:val="18"/>
          <w:color w:val="auto"/>
        </w:rPr>
      </w:pPr>
    </w:p>
    <w:p>
      <w:pPr>
        <w:jc w:val="both"/>
        <w:ind w:left="1180" w:right="19" w:hanging="448"/>
        <w:spacing w:after="0" w:line="245" w:lineRule="auto"/>
        <w:tabs>
          <w:tab w:leader="none" w:pos="118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dates presented plus all additional shares that would result from the assumed conversion of all outstanding convertible notes and convertible preferred stock, exercise of all outstanding stock option awards, and settlement of all outstanding restricted stock units and performance stock units as of such dates.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-658495</wp:posOffset>
            </wp:positionH>
            <wp:positionV relativeFrom="paragraph">
              <wp:posOffset>1065530</wp:posOffset>
            </wp:positionV>
            <wp:extent cx="7037705" cy="4254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15" w:right="1440" w:bottom="1440" w:gutter="0" w:footer="0" w:header="0"/>
        </w:sectPr>
      </w:pPr>
    </w:p>
    <w:bookmarkStart w:id="3" w:name="page4"/>
    <w:bookmarkEnd w:id="3"/>
    <w:p>
      <w:pPr>
        <w:ind w:left="300"/>
        <w:spacing w:after="0"/>
        <w:rPr>
          <w:sz w:val="20"/>
          <w:szCs w:val="20"/>
          <w:color w:val="auto"/>
        </w:rPr>
      </w:pPr>
      <w:r>
        <w:rPr>
          <w:rFonts w:ascii="Times New Roman" w:cs="Times New Roman" w:eastAsia="Times New Roman" w:hAnsi="Times New Roman"/>
          <w:sz w:val="18"/>
          <w:szCs w:val="18"/>
          <w:i w:val="1"/>
          <w:iCs w:val="1"/>
          <w:color w:val="auto"/>
        </w:rPr>
        <w:t>Important Information about BTC Yield, BTC Gain and BTC $ Gain KPIs</w:t>
      </w:r>
    </w:p>
    <w:p>
      <w:pPr>
        <w:spacing w:after="0" w:line="210" w:lineRule="exact"/>
        <w:rPr>
          <w:sz w:val="20"/>
          <w:szCs w:val="20"/>
          <w:color w:val="auto"/>
        </w:rPr>
      </w:pPr>
    </w:p>
    <w:p>
      <w:pPr>
        <w:ind w:left="300" w:right="19"/>
        <w:spacing w:after="0" w:line="271" w:lineRule="auto"/>
        <w:rPr>
          <w:sz w:val="20"/>
          <w:szCs w:val="20"/>
          <w:color w:val="auto"/>
        </w:rPr>
      </w:pPr>
      <w:r>
        <w:rPr>
          <w:rFonts w:ascii="Times New Roman" w:cs="Times New Roman" w:eastAsia="Times New Roman" w:hAnsi="Times New Roman"/>
          <w:sz w:val="18"/>
          <w:szCs w:val="18"/>
          <w:b w:val="1"/>
          <w:bCs w:val="1"/>
          <w:color w:val="auto"/>
        </w:rPr>
        <w:t xml:space="preserve">BTC Yield </w:t>
      </w:r>
      <w:r>
        <w:rPr>
          <w:rFonts w:ascii="Times New Roman" w:cs="Times New Roman" w:eastAsia="Times New Roman" w:hAnsi="Times New Roman"/>
          <w:sz w:val="18"/>
          <w:szCs w:val="18"/>
          <w:color w:val="auto"/>
        </w:rPr>
        <w:t>is a key performance indicator (“KPI”) that represents the percentage change, during a period, of the ratio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between the Company’s bitcoin holdings and its Assumed Diluted Shares Outstanding, where:</w:t>
      </w:r>
    </w:p>
    <w:p>
      <w:pPr>
        <w:spacing w:after="0" w:line="50" w:lineRule="exact"/>
        <w:rPr>
          <w:sz w:val="20"/>
          <w:szCs w:val="20"/>
          <w:color w:val="auto"/>
        </w:rPr>
      </w:pPr>
    </w:p>
    <w:p>
      <w:pPr>
        <w:jc w:val="both"/>
        <w:ind w:left="1180" w:right="19" w:hanging="448"/>
        <w:spacing w:after="0" w:line="245" w:lineRule="auto"/>
        <w:tabs>
          <w:tab w:leader="none" w:pos="124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dates presented plus all additional shares that would result from the assumed conversion of all outstanding convertible notes and convertible preferred stock, exercise of all outstanding stock option awards, and settlement of all outstanding restricted stock units and performance stock units as of such dates.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73" w:lineRule="exact"/>
        <w:rPr>
          <w:rFonts w:ascii="Times New Roman" w:cs="Times New Roman" w:eastAsia="Times New Roman" w:hAnsi="Times New Roman"/>
          <w:sz w:val="18"/>
          <w:szCs w:val="18"/>
          <w:color w:val="auto"/>
        </w:rPr>
      </w:pPr>
    </w:p>
    <w:p>
      <w:pPr>
        <w:jc w:val="both"/>
        <w:ind w:left="1180" w:right="19" w:hanging="448"/>
        <w:spacing w:after="0" w:line="247" w:lineRule="auto"/>
        <w:tabs>
          <w:tab w:leader="none" w:pos="11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common stock and class B common stock outstanding as of the dates presented. For purposes of this calculation, outstanding shares of such stock are deemed to include shares, if any, that were sold under at-the-market equity offering programs, that were to be issued pursuant to options that had been exercised or restricted stock units that have vested or that were to be issued with respect to conversion requests received with respect to the convertible notes, but which in each case were pending issuance as of the dates presented.</w:t>
      </w:r>
    </w:p>
    <w:p>
      <w:pPr>
        <w:spacing w:after="0" w:line="176" w:lineRule="exact"/>
        <w:rPr>
          <w:sz w:val="20"/>
          <w:szCs w:val="20"/>
          <w:color w:val="auto"/>
        </w:rPr>
      </w:pPr>
    </w:p>
    <w:p>
      <w:pPr>
        <w:jc w:val="both"/>
        <w:ind w:left="300" w:right="19"/>
        <w:spacing w:after="0" w:line="271" w:lineRule="auto"/>
        <w:rPr>
          <w:sz w:val="20"/>
          <w:szCs w:val="20"/>
          <w:color w:val="auto"/>
        </w:rPr>
      </w:pPr>
      <w:r>
        <w:rPr>
          <w:rFonts w:ascii="Times New Roman" w:cs="Times New Roman" w:eastAsia="Times New Roman" w:hAnsi="Times New Roman"/>
          <w:sz w:val="18"/>
          <w:szCs w:val="18"/>
          <w:b w:val="1"/>
          <w:bCs w:val="1"/>
          <w:color w:val="auto"/>
        </w:rPr>
        <w:t xml:space="preserve">BTC Gain </w:t>
      </w:r>
      <w:r>
        <w:rPr>
          <w:rFonts w:ascii="Times New Roman" w:cs="Times New Roman" w:eastAsia="Times New Roman" w:hAnsi="Times New Roman"/>
          <w:sz w:val="18"/>
          <w:szCs w:val="18"/>
          <w:color w:val="auto"/>
        </w:rPr>
        <w:t>is a KPI that represents the number of bitcoins held by the Company at the beginning of a period multiplied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by the BTC Yield for such period.</w:t>
      </w:r>
    </w:p>
    <w:p>
      <w:pPr>
        <w:spacing w:after="0" w:line="154" w:lineRule="exact"/>
        <w:rPr>
          <w:sz w:val="20"/>
          <w:szCs w:val="20"/>
          <w:color w:val="auto"/>
        </w:rPr>
      </w:pPr>
    </w:p>
    <w:p>
      <w:pPr>
        <w:jc w:val="both"/>
        <w:ind w:left="300" w:right="19"/>
        <w:spacing w:after="0" w:line="245" w:lineRule="auto"/>
        <w:rPr>
          <w:sz w:val="20"/>
          <w:szCs w:val="20"/>
          <w:color w:val="auto"/>
        </w:rPr>
      </w:pPr>
      <w:r>
        <w:rPr>
          <w:rFonts w:ascii="Times New Roman" w:cs="Times New Roman" w:eastAsia="Times New Roman" w:hAnsi="Times New Roman"/>
          <w:sz w:val="18"/>
          <w:szCs w:val="18"/>
          <w:b w:val="1"/>
          <w:bCs w:val="1"/>
          <w:color w:val="auto"/>
        </w:rPr>
        <w:t xml:space="preserve">BTC $ Gain </w:t>
      </w:r>
      <w:r>
        <w:rPr>
          <w:rFonts w:ascii="Times New Roman" w:cs="Times New Roman" w:eastAsia="Times New Roman" w:hAnsi="Times New Roman"/>
          <w:sz w:val="18"/>
          <w:szCs w:val="18"/>
          <w:color w:val="auto"/>
        </w:rPr>
        <w:t>is a KPI that represents the dollar value of the BTC Gain calculated by multiplying the BTC Gain by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market price of bitcoin. For determining BTC $ Gain QTD and YTD, unless otherwise specified, the Company uses the current market price of bitcoin. For determining BTC $ Gain for a past fiscal year or other past period, the Company uses the market price of bitcoin as of 4:00pm ET as reported on the Coinbase exchange on the last day of the applicable period. The Company uses these market prices of bitcoin for this calculation solely for the purpose of facilitating this illustrative calculation.</w:t>
      </w:r>
    </w:p>
    <w:p>
      <w:pPr>
        <w:spacing w:after="0" w:line="181"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The Company uses BTC Yield, BTC Gain and BTC $ Gain as KPIs to help assess the performance of its strategy of acquiring bitcoin in a manner the Company believes is accretive to shareholders. The Company believes these KPIs can be used to supplement an investor’s understanding of the Company’s decision of the manner in which it funds the purchase of bitcoin and the value created in a period by:</w:t>
      </w:r>
    </w:p>
    <w:p>
      <w:pPr>
        <w:spacing w:after="0" w:line="69" w:lineRule="exact"/>
        <w:rPr>
          <w:sz w:val="20"/>
          <w:szCs w:val="20"/>
          <w:color w:val="auto"/>
        </w:rPr>
      </w:pPr>
    </w:p>
    <w:p>
      <w:pPr>
        <w:jc w:val="both"/>
        <w:ind w:left="1180" w:right="19" w:hanging="448"/>
        <w:spacing w:after="0" w:line="258" w:lineRule="auto"/>
        <w:tabs>
          <w:tab w:leader="none" w:pos="11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Yield, comparing the rate of change in the Company’s bitcoin holdings as compared to the rate of change in the number of shares of its common stock and instruments convertible to common stock;</w:t>
      </w:r>
    </w:p>
    <w:p>
      <w:pPr>
        <w:spacing w:after="0" w:line="61" w:lineRule="exact"/>
        <w:rPr>
          <w:rFonts w:ascii="Times New Roman" w:cs="Times New Roman" w:eastAsia="Times New Roman" w:hAnsi="Times New Roman"/>
          <w:sz w:val="18"/>
          <w:szCs w:val="18"/>
          <w:color w:val="auto"/>
        </w:rPr>
      </w:pPr>
    </w:p>
    <w:p>
      <w:pPr>
        <w:jc w:val="both"/>
        <w:ind w:left="1180" w:right="19" w:hanging="448"/>
        <w:spacing w:after="0" w:line="258" w:lineRule="auto"/>
        <w:tabs>
          <w:tab w:leader="none" w:pos="11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Gain, hypothetically expressing the change reflected in the BTC Yield metric as if it reflected an increase in the amount of bitcoin held at the end the applicable period as compared to the beginning of such period; and</w:t>
      </w:r>
    </w:p>
    <w:p>
      <w:pPr>
        <w:spacing w:after="0" w:line="61" w:lineRule="exact"/>
        <w:rPr>
          <w:rFonts w:ascii="Times New Roman" w:cs="Times New Roman" w:eastAsia="Times New Roman" w:hAnsi="Times New Roman"/>
          <w:sz w:val="18"/>
          <w:szCs w:val="18"/>
          <w:color w:val="auto"/>
        </w:rPr>
      </w:pPr>
    </w:p>
    <w:p>
      <w:pPr>
        <w:ind w:left="1180" w:right="19" w:hanging="448"/>
        <w:spacing w:after="0" w:line="266" w:lineRule="auto"/>
        <w:tabs>
          <w:tab w:leader="none" w:pos="11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 Gain, further expressing that gain as a dollar value by multiplying that bitcoin-denominated gain by the market price of bitcoin at the end of the applicable period as described above.</w:t>
      </w:r>
    </w:p>
    <w:p>
      <w:pPr>
        <w:spacing w:after="0" w:line="162" w:lineRule="exact"/>
        <w:rPr>
          <w:sz w:val="20"/>
          <w:szCs w:val="20"/>
          <w:color w:val="auto"/>
        </w:rPr>
      </w:pPr>
    </w:p>
    <w:p>
      <w:pPr>
        <w:jc w:val="both"/>
        <w:ind w:left="300" w:right="19"/>
        <w:spacing w:after="0" w:line="246" w:lineRule="auto"/>
        <w:rPr>
          <w:sz w:val="20"/>
          <w:szCs w:val="20"/>
          <w:color w:val="auto"/>
        </w:rPr>
      </w:pPr>
      <w:r>
        <w:rPr>
          <w:rFonts w:ascii="Times New Roman" w:cs="Times New Roman" w:eastAsia="Times New Roman" w:hAnsi="Times New Roman"/>
          <w:sz w:val="18"/>
          <w:szCs w:val="18"/>
          <w:color w:val="auto"/>
        </w:rPr>
        <w:t>When the Company uses these KPIs, management also takes into account the various limitations of these metrics, including that they do not take into account debt, preferred stock and other liabilities and claims on company assets that would be senior to common equity and that they assume that all indebtedness will be refinanced or, in the case of the Company’s senior convertible debt instruments and convertible preferred stock, converted into shares of common stock in accordance with their respective terms.</w:t>
      </w:r>
    </w:p>
    <w:p>
      <w:pPr>
        <w:spacing w:after="0" w:line="181" w:lineRule="exact"/>
        <w:rPr>
          <w:sz w:val="20"/>
          <w:szCs w:val="20"/>
          <w:color w:val="auto"/>
        </w:rPr>
      </w:pPr>
    </w:p>
    <w:p>
      <w:pPr>
        <w:jc w:val="both"/>
        <w:ind w:left="300" w:right="19"/>
        <w:spacing w:after="0" w:line="246" w:lineRule="auto"/>
        <w:rPr>
          <w:sz w:val="20"/>
          <w:szCs w:val="20"/>
          <w:color w:val="auto"/>
        </w:rPr>
      </w:pPr>
      <w:r>
        <w:rPr>
          <w:rFonts w:ascii="Times New Roman" w:cs="Times New Roman" w:eastAsia="Times New Roman" w:hAnsi="Times New Roman"/>
          <w:sz w:val="18"/>
          <w:szCs w:val="18"/>
          <w:color w:val="auto"/>
        </w:rPr>
        <w:t>Additionally, BTC Yield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-658495</wp:posOffset>
            </wp:positionH>
            <wp:positionV relativeFrom="paragraph">
              <wp:posOffset>928370</wp:posOffset>
            </wp:positionV>
            <wp:extent cx="7037705" cy="425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15" w:right="1440" w:bottom="1440" w:gutter="0" w:footer="0" w:header="0"/>
        </w:sectPr>
      </w:pPr>
    </w:p>
    <w:bookmarkStart w:id="4" w:name="page5"/>
    <w:bookmarkEnd w:id="4"/>
    <w:p>
      <w:pPr>
        <w:jc w:val="both"/>
        <w:ind w:left="300" w:right="39"/>
        <w:spacing w:after="0" w:line="266" w:lineRule="auto"/>
        <w:rPr>
          <w:sz w:val="20"/>
          <w:szCs w:val="20"/>
          <w:color w:val="auto"/>
        </w:rPr>
      </w:pPr>
      <w:r>
        <w:rPr>
          <w:rFonts w:ascii="Times New Roman" w:cs="Times New Roman" w:eastAsia="Times New Roman" w:hAnsi="Times New Roman"/>
          <w:sz w:val="18"/>
          <w:szCs w:val="18"/>
          <w:color w:val="auto"/>
        </w:rPr>
        <w:t>holdings, return on investment on its bitcoin holdings, or any other similar financial measure of the performance of its business or assets.</w:t>
      </w:r>
    </w:p>
    <w:p>
      <w:pPr>
        <w:spacing w:after="0" w:line="162" w:lineRule="exact"/>
        <w:rPr>
          <w:sz w:val="20"/>
          <w:szCs w:val="20"/>
          <w:color w:val="auto"/>
        </w:rPr>
      </w:pPr>
    </w:p>
    <w:p>
      <w:pPr>
        <w:jc w:val="both"/>
        <w:ind w:left="300" w:right="19"/>
        <w:spacing w:after="0" w:line="243" w:lineRule="auto"/>
        <w:rPr>
          <w:sz w:val="20"/>
          <w:szCs w:val="20"/>
          <w:color w:val="auto"/>
        </w:rPr>
      </w:pPr>
      <w:r>
        <w:rPr>
          <w:rFonts w:ascii="Times New Roman" w:cs="Times New Roman" w:eastAsia="Times New Roman" w:hAnsi="Times New Roman"/>
          <w:sz w:val="18"/>
          <w:szCs w:val="18"/>
          <w:color w:val="auto"/>
        </w:rPr>
        <w:t>BTC Gain and BTC $ Gain are not, and should not be understood as, operating performance measures or financial or liquidity measures. In particular, BTC Gain and BTC $ Gain are not equivalent to “gain” in the traditional financial context. They also are not measures of the return on investment the Company’s shareholders may have achieved historically or can achieve in the future by purchasing stock of the Company, or measures of income generated by the Company’s operations or its bitcoin holdings, return on investment on its bitcoin holdings, or any other similar financial measure of the performance of its business or assets. It should also be understood that BTC $ Gain does not represent a fair value gain of the Company’s bitcoin holdings, and BTC $ Gain may be positive during periods when the Company has incurred fair value losses on its bitcoin holdings.</w:t>
      </w:r>
    </w:p>
    <w:p>
      <w:pPr>
        <w:spacing w:after="0" w:line="186" w:lineRule="exact"/>
        <w:rPr>
          <w:sz w:val="20"/>
          <w:szCs w:val="20"/>
          <w:color w:val="auto"/>
        </w:rPr>
      </w:pPr>
    </w:p>
    <w:p>
      <w:pPr>
        <w:jc w:val="both"/>
        <w:ind w:left="300" w:right="19"/>
        <w:spacing w:after="0" w:line="246"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neither BTC Yield, BTC Gain nor BTC $ Gain are indicative or predictive of the trading price of the Company’s securities.</w:t>
      </w:r>
    </w:p>
    <w:p>
      <w:pPr>
        <w:spacing w:after="0" w:line="181" w:lineRule="exact"/>
        <w:rPr>
          <w:sz w:val="20"/>
          <w:szCs w:val="20"/>
          <w:color w:val="auto"/>
        </w:rPr>
      </w:pPr>
    </w:p>
    <w:p>
      <w:pPr>
        <w:jc w:val="both"/>
        <w:ind w:left="300" w:right="19"/>
        <w:spacing w:after="0" w:line="266" w:lineRule="auto"/>
        <w:rPr>
          <w:sz w:val="20"/>
          <w:szCs w:val="20"/>
          <w:color w:val="auto"/>
        </w:rPr>
      </w:pPr>
      <w:r>
        <w:rPr>
          <w:rFonts w:ascii="Times New Roman" w:cs="Times New Roman" w:eastAsia="Times New Roman" w:hAnsi="Times New Roman"/>
          <w:sz w:val="18"/>
          <w:szCs w:val="18"/>
          <w:color w:val="auto"/>
        </w:rPr>
        <w:t>As noted above, these KPIs are narrow in their purpose and are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jc w:val="both"/>
        <w:ind w:left="300" w:right="19"/>
        <w:spacing w:after="0" w:line="241" w:lineRule="auto"/>
        <w:rPr>
          <w:sz w:val="20"/>
          <w:szCs w:val="20"/>
          <w:color w:val="auto"/>
        </w:rPr>
      </w:pPr>
      <w:r>
        <w:rPr>
          <w:rFonts w:ascii="Times New Roman" w:cs="Times New Roman" w:eastAsia="Times New Roman" w:hAnsi="Times New Roman"/>
          <w:sz w:val="18"/>
          <w:szCs w:val="18"/>
          <w:color w:val="auto"/>
        </w:rPr>
        <w:t>In calculating these KPIs, the Company does not take into account the source of capital used for the acquisition of its bitcoin. The Company notes in particular, it has acquired bitcoin using proceeds from the offering of its 6.125% Senior Secured Notes due 2028 (which the Company has since redeemed), which were not convertible to shares of the Company’s common stock, as well as from the offerings of its convertible senior notes, which at the time of issuance had, and may from time-to-time thereafter have, conversion prices above the current trading prices of the Company’s common stock, or as to which the holders of such convertible notes may not then be entitled to exercise the conversion rights of the notes. Such offerings have had the effect of increasing the BTC Yield, BTC Gain and BTC $ Gain without taking into account the corresponding debt. Conversely, if any of the Company’s convertible notes mature or are redeemed without being converted into common stock, the Company may be required to sell shares in quantities greater than the shares such notes are convertible into or generate cash proceeds from the sale of bitcoin, either of which would have the effect of decreasing the BTC Yield, BTC Gain and BTC $ Gain due to changes in the Company’s bitcoin holdings and shares in ways that were not contemplated by the assumptions in calculating BTC Yield, BTC Gain and BTC $ Gain, respectively. Accordingly, these metrics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0" w:lineRule="exact"/>
        <w:rPr>
          <w:sz w:val="20"/>
          <w:szCs w:val="20"/>
          <w:color w:val="auto"/>
        </w:rPr>
      </w:pPr>
    </w:p>
    <w:p>
      <w:pPr>
        <w:jc w:val="both"/>
        <w:ind w:left="300" w:right="19"/>
        <w:spacing w:after="0" w:line="244" w:lineRule="auto"/>
        <w:rPr>
          <w:sz w:val="20"/>
          <w:szCs w:val="20"/>
          <w:color w:val="auto"/>
        </w:rPr>
      </w:pPr>
      <w:r>
        <w:rPr>
          <w:rFonts w:ascii="Times New Roman" w:cs="Times New Roman" w:eastAsia="Times New Roman" w:hAnsi="Times New Roman"/>
          <w:sz w:val="18"/>
          <w:szCs w:val="18"/>
          <w:color w:val="auto"/>
        </w:rPr>
        <w:t>In addition, we are required to pay dividends with respect to our perpetual strike preferred stock in perpetuity. We could pay these dividends with cash or by issuing shares of class A common stock. If we issue shares of class A common stock in lieu of paying dividends in cash, or if we issue shares of class A common stock for cash to fund the payment of dividends in cash, then we would experience an increase in our Assumed Diluted Shares Outstanding without a corresponding increase in our bitcoin holdings and a decrease in BTC Yield, BTC Gain and BTC $ Gain for the period in which such issuance of shares of class A common stock occurred.</w:t>
      </w:r>
    </w:p>
    <w:p>
      <w:pPr>
        <w:spacing w:after="0" w:line="182"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class A common stock, and by presenting these KPIs the Company makes no suggestion that it intends to do so in the future. Ownership of the Company’s securities, including its class A common stock and preferred stock, does not represent an ownership interest in the bitcoin the Company holds.</w:t>
      </w:r>
    </w:p>
    <w:p>
      <w:pPr>
        <w:spacing w:after="0" w:line="164"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The Company determines its KPI targets based on its history and future goals. The Company’s ability to achieve positive BTC Yield, BTC Gain, or BTC $ Gain may depend on a variety of factors, including its ability to generate cash from operations in excess of its fixed charges and other expenses, as well as factors outside of its control, such as the price of bitcoin, and the availability of debt and equity financing on favorable terms. Past performance is not indicative of future results.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-658495</wp:posOffset>
            </wp:positionH>
            <wp:positionV relativeFrom="paragraph">
              <wp:posOffset>925830</wp:posOffset>
            </wp:positionV>
            <wp:extent cx="7037705" cy="4254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17" w:right="1440" w:bottom="1440" w:gutter="0" w:footer="0" w:header="0"/>
        </w:sectPr>
      </w:pPr>
    </w:p>
    <w:bookmarkStart w:id="5" w:name="page6"/>
    <w:bookmarkEnd w:id="5"/>
    <w:p>
      <w:pPr>
        <w:jc w:val="both"/>
        <w:ind w:left="300" w:right="19"/>
        <w:spacing w:after="0" w:line="258"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These KPIs are merely supplements, not a substitute. They should be used only by sophisticated investors who understand their limited purpose and many limitations.</w:t>
      </w:r>
    </w:p>
    <w:p>
      <w:pPr>
        <w:spacing w:after="0" w:line="154"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Strategy Dashboard</w:t>
      </w:r>
    </w:p>
    <w:p>
      <w:pPr>
        <w:spacing w:after="0" w:line="214" w:lineRule="exact"/>
        <w:rPr>
          <w:sz w:val="20"/>
          <w:szCs w:val="20"/>
          <w:color w:val="auto"/>
        </w:rPr>
      </w:pPr>
    </w:p>
    <w:p>
      <w:pPr>
        <w:jc w:val="both"/>
        <w:ind w:left="300" w:right="19"/>
        <w:spacing w:after="0" w:line="244" w:lineRule="auto"/>
        <w:rPr>
          <w:sz w:val="20"/>
          <w:szCs w:val="20"/>
          <w:color w:val="auto"/>
        </w:rPr>
      </w:pPr>
      <w:r>
        <w:rPr>
          <w:rFonts w:ascii="Times New Roman" w:cs="Times New Roman" w:eastAsia="Times New Roman" w:hAnsi="Times New Roman"/>
          <w:sz w:val="18"/>
          <w:szCs w:val="18"/>
          <w:color w:val="auto"/>
        </w:rPr>
        <w:t>The Company also maintains a dashboard on its website (www.strategy.com) as a disclosure channel for providing broad, non-exclusionary distribution of information regarding the Company to the public, including information regarding market prices of its outstanding securities, bitcoin purchases and holdings, certain KPI metrics and other supplemental information, and as one means of disclosing non-public information in compliance with its disclosure obligations under Regulation FD. Investors and others are encouraged to regularly review the information that the Company makes public via the website dashboard.</w:t>
      </w:r>
    </w:p>
    <w:p>
      <w:pPr>
        <w:spacing w:after="0" w:line="180" w:lineRule="exact"/>
        <w:rPr>
          <w:sz w:val="20"/>
          <w:szCs w:val="20"/>
          <w:color w:val="auto"/>
        </w:rPr>
      </w:pPr>
    </w:p>
    <w:p>
      <w:pPr>
        <w:ind w:left="300"/>
        <w:spacing w:after="0"/>
        <w:rPr>
          <w:sz w:val="20"/>
          <w:szCs w:val="20"/>
          <w:color w:val="auto"/>
        </w:rPr>
      </w:pPr>
      <w:r>
        <w:rPr>
          <w:rFonts w:ascii="Times New Roman" w:cs="Times New Roman" w:eastAsia="Times New Roman" w:hAnsi="Times New Roman"/>
          <w:sz w:val="18"/>
          <w:szCs w:val="18"/>
          <w:i w:val="1"/>
          <w:iCs w:val="1"/>
          <w:color w:val="auto"/>
        </w:rPr>
        <w:t>Furnished Information</w:t>
      </w:r>
    </w:p>
    <w:p>
      <w:pPr>
        <w:spacing w:after="0" w:line="214" w:lineRule="exact"/>
        <w:rPr>
          <w:sz w:val="20"/>
          <w:szCs w:val="20"/>
          <w:color w:val="auto"/>
        </w:rPr>
      </w:pPr>
    </w:p>
    <w:p>
      <w:pPr>
        <w:jc w:val="both"/>
        <w:ind w:left="300" w:right="19"/>
        <w:spacing w:after="0" w:line="250" w:lineRule="auto"/>
        <w:rPr>
          <w:sz w:val="20"/>
          <w:szCs w:val="20"/>
          <w:color w:val="auto"/>
        </w:rPr>
      </w:pPr>
      <w:r>
        <w:rPr>
          <w:rFonts w:ascii="Times New Roman" w:cs="Times New Roman" w:eastAsia="Times New Roman" w:hAnsi="Times New Roman"/>
          <w:sz w:val="18"/>
          <w:szCs w:val="18"/>
          <w:color w:val="auto"/>
        </w:rPr>
        <w:t>The information disclosed pursuant to Item 7.01 in this Current Report on Form 8-K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-658495</wp:posOffset>
            </wp:positionH>
            <wp:positionV relativeFrom="paragraph">
              <wp:posOffset>1054100</wp:posOffset>
            </wp:positionV>
            <wp:extent cx="7037705" cy="4254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037705" cy="42545"/>
                    </a:xfrm>
                    <a:prstGeom prst="rect">
                      <a:avLst/>
                    </a:prstGeom>
                    <a:noFill/>
                  </pic:spPr>
                </pic:pic>
              </a:graphicData>
            </a:graphic>
          </wp:anchor>
        </w:drawing>
      </w:r>
    </w:p>
    <w:p>
      <w:pPr>
        <w:sectPr>
          <w:pgSz w:w="11900" w:h="16838" w:orient="portrait"/>
          <w:cols w:equalWidth="0" w:num="1">
            <w:col w:w="9019"/>
          </w:cols>
          <w:pgMar w:left="1440" w:top="1417" w:right="1440" w:bottom="1440" w:gutter="0" w:footer="0" w:header="0"/>
        </w:sectPr>
      </w:pPr>
    </w:p>
    <w:bookmarkStart w:id="6" w:name="page7"/>
    <w:bookmarkEnd w:id="6"/>
    <w:p>
      <w:pPr>
        <w:spacing w:after="0" w:line="190"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SIGNATURE</w:t>
      </w:r>
    </w:p>
    <w:p>
      <w:pPr>
        <w:spacing w:after="0" w:line="216" w:lineRule="exact"/>
        <w:rPr>
          <w:sz w:val="20"/>
          <w:szCs w:val="20"/>
          <w:color w:val="auto"/>
        </w:rPr>
      </w:pPr>
    </w:p>
    <w:p>
      <w:pPr>
        <w:ind w:left="1320" w:right="130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333" w:lineRule="exact"/>
        <w:rPr>
          <w:sz w:val="20"/>
          <w:szCs w:val="20"/>
          <w:color w:val="auto"/>
        </w:rPr>
      </w:pPr>
    </w:p>
    <w:tbl>
      <w:tblPr>
        <w:tblLayout w:type="fixed"/>
        <w:tblInd w:w="0" w:type="dxa"/>
        <w:tblCellMar>
          <w:top w:w="0" w:type="dxa"/>
          <w:left w:w="0" w:type="dxa"/>
          <w:bottom w:w="0" w:type="dxa"/>
          <w:right w:w="0" w:type="dxa"/>
        </w:tblCellMar>
      </w:tblPr>
      <w:tr>
        <w:trPr>
          <w:trHeight w:val="207"/>
        </w:trPr>
        <w:tc>
          <w:tcPr>
            <w:tcW w:w="4320" w:type="dxa"/>
            <w:vAlign w:val="bottom"/>
          </w:tcPr>
          <w:p>
            <w:pPr>
              <w:ind w:left="1320"/>
              <w:spacing w:after="0"/>
              <w:rPr>
                <w:sz w:val="20"/>
                <w:szCs w:val="20"/>
                <w:color w:val="auto"/>
              </w:rPr>
            </w:pPr>
            <w:r>
              <w:rPr>
                <w:rFonts w:ascii="Times New Roman" w:cs="Times New Roman" w:eastAsia="Times New Roman" w:hAnsi="Times New Roman"/>
                <w:sz w:val="18"/>
                <w:szCs w:val="18"/>
                <w:color w:val="auto"/>
              </w:rPr>
              <w:t>Date: February 24, 2025</w:t>
            </w:r>
          </w:p>
        </w:tc>
        <w:tc>
          <w:tcPr>
            <w:tcW w:w="5400" w:type="dxa"/>
            <w:vAlign w:val="bottom"/>
            <w:gridSpan w:val="3"/>
          </w:tcPr>
          <w:p>
            <w:pPr>
              <w:ind w:left="1240"/>
              <w:spacing w:after="0"/>
              <w:rPr>
                <w:sz w:val="20"/>
                <w:szCs w:val="20"/>
                <w:color w:val="auto"/>
              </w:rPr>
            </w:pPr>
            <w:r>
              <w:rPr>
                <w:rFonts w:ascii="Times New Roman" w:cs="Times New Roman" w:eastAsia="Times New Roman" w:hAnsi="Times New Roman"/>
                <w:sz w:val="18"/>
                <w:szCs w:val="18"/>
                <w:color w:val="auto"/>
              </w:rPr>
              <w:t>MicroStrategy Incorporated</w:t>
            </w:r>
          </w:p>
        </w:tc>
        <w:tc>
          <w:tcPr>
            <w:tcW w:w="1320" w:type="dxa"/>
            <w:vAlign w:val="bottom"/>
          </w:tcPr>
          <w:p>
            <w:pPr>
              <w:spacing w:after="0"/>
              <w:rPr>
                <w:sz w:val="17"/>
                <w:szCs w:val="17"/>
                <w:color w:val="auto"/>
              </w:rPr>
            </w:pPr>
          </w:p>
        </w:tc>
      </w:tr>
      <w:tr>
        <w:trPr>
          <w:trHeight w:val="234"/>
        </w:trPr>
        <w:tc>
          <w:tcPr>
            <w:tcW w:w="4320" w:type="dxa"/>
            <w:vAlign w:val="bottom"/>
          </w:tcPr>
          <w:p>
            <w:pPr>
              <w:spacing w:after="0"/>
              <w:rPr>
                <w:sz w:val="20"/>
                <w:szCs w:val="20"/>
                <w:color w:val="auto"/>
              </w:rPr>
            </w:pPr>
          </w:p>
        </w:tc>
        <w:tc>
          <w:tcPr>
            <w:tcW w:w="5400" w:type="dxa"/>
            <w:vAlign w:val="bottom"/>
            <w:gridSpan w:val="3"/>
          </w:tcPr>
          <w:p>
            <w:pPr>
              <w:ind w:left="1240"/>
              <w:spacing w:after="0"/>
              <w:rPr>
                <w:sz w:val="20"/>
                <w:szCs w:val="20"/>
                <w:color w:val="auto"/>
              </w:rPr>
            </w:pPr>
            <w:r>
              <w:rPr>
                <w:rFonts w:ascii="Times New Roman" w:cs="Times New Roman" w:eastAsia="Times New Roman" w:hAnsi="Times New Roman"/>
                <w:sz w:val="18"/>
                <w:szCs w:val="18"/>
                <w:color w:val="auto"/>
              </w:rPr>
              <w:t>(Registrant)</w:t>
            </w:r>
          </w:p>
        </w:tc>
        <w:tc>
          <w:tcPr>
            <w:tcW w:w="1320" w:type="dxa"/>
            <w:vAlign w:val="bottom"/>
          </w:tcPr>
          <w:p>
            <w:pPr>
              <w:spacing w:after="0"/>
              <w:rPr>
                <w:sz w:val="20"/>
                <w:szCs w:val="20"/>
                <w:color w:val="auto"/>
              </w:rPr>
            </w:pPr>
          </w:p>
        </w:tc>
      </w:tr>
      <w:tr>
        <w:trPr>
          <w:trHeight w:val="405"/>
        </w:trPr>
        <w:tc>
          <w:tcPr>
            <w:tcW w:w="4320" w:type="dxa"/>
            <w:vAlign w:val="bottom"/>
          </w:tcPr>
          <w:p>
            <w:pPr>
              <w:spacing w:after="0"/>
              <w:rPr>
                <w:sz w:val="24"/>
                <w:szCs w:val="24"/>
                <w:color w:val="auto"/>
              </w:rPr>
            </w:pPr>
          </w:p>
        </w:tc>
        <w:tc>
          <w:tcPr>
            <w:tcW w:w="1740" w:type="dxa"/>
            <w:vAlign w:val="bottom"/>
          </w:tcPr>
          <w:p>
            <w:pPr>
              <w:ind w:left="1240"/>
              <w:spacing w:after="0"/>
              <w:rPr>
                <w:sz w:val="20"/>
                <w:szCs w:val="20"/>
                <w:color w:val="auto"/>
              </w:rPr>
            </w:pPr>
            <w:r>
              <w:rPr>
                <w:rFonts w:ascii="Times New Roman" w:cs="Times New Roman" w:eastAsia="Times New Roman" w:hAnsi="Times New Roman"/>
                <w:sz w:val="18"/>
                <w:szCs w:val="18"/>
                <w:color w:val="auto"/>
              </w:rPr>
              <w:t>By:</w:t>
            </w:r>
          </w:p>
        </w:tc>
        <w:tc>
          <w:tcPr>
            <w:tcW w:w="366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/s/ W. Ming Shao</w:t>
            </w:r>
          </w:p>
        </w:tc>
        <w:tc>
          <w:tcPr>
            <w:tcW w:w="1320" w:type="dxa"/>
            <w:vAlign w:val="bottom"/>
          </w:tcPr>
          <w:p>
            <w:pPr>
              <w:spacing w:after="0"/>
              <w:rPr>
                <w:sz w:val="24"/>
                <w:szCs w:val="24"/>
                <w:color w:val="auto"/>
              </w:rPr>
            </w:pPr>
          </w:p>
        </w:tc>
      </w:tr>
      <w:tr>
        <w:trPr>
          <w:trHeight w:val="164"/>
        </w:trPr>
        <w:tc>
          <w:tcPr>
            <w:tcW w:w="4320" w:type="dxa"/>
            <w:vAlign w:val="bottom"/>
          </w:tcPr>
          <w:p>
            <w:pPr>
              <w:spacing w:after="0"/>
              <w:rPr>
                <w:sz w:val="14"/>
                <w:szCs w:val="14"/>
                <w:color w:val="auto"/>
              </w:rPr>
            </w:pPr>
          </w:p>
        </w:tc>
        <w:tc>
          <w:tcPr>
            <w:tcW w:w="1740" w:type="dxa"/>
            <w:vAlign w:val="bottom"/>
          </w:tcPr>
          <w:p>
            <w:pPr>
              <w:ind w:left="1240"/>
              <w:spacing w:after="0" w:line="164" w:lineRule="exact"/>
              <w:rPr>
                <w:sz w:val="20"/>
                <w:szCs w:val="20"/>
                <w:color w:val="auto"/>
              </w:rPr>
            </w:pPr>
            <w:r>
              <w:rPr>
                <w:rFonts w:ascii="Times New Roman" w:cs="Times New Roman" w:eastAsia="Times New Roman" w:hAnsi="Times New Roman"/>
                <w:sz w:val="18"/>
                <w:szCs w:val="18"/>
                <w:color w:val="auto"/>
              </w:rPr>
              <w:t>Name</w:t>
            </w:r>
          </w:p>
        </w:tc>
        <w:tc>
          <w:tcPr>
            <w:tcW w:w="80" w:type="dxa"/>
            <w:vAlign w:val="bottom"/>
          </w:tcPr>
          <w:p>
            <w:pPr>
              <w:spacing w:after="0"/>
              <w:rPr>
                <w:sz w:val="14"/>
                <w:szCs w:val="14"/>
                <w:color w:val="auto"/>
              </w:rPr>
            </w:pPr>
          </w:p>
        </w:tc>
        <w:tc>
          <w:tcPr>
            <w:tcW w:w="3580" w:type="dxa"/>
            <w:vAlign w:val="bottom"/>
            <w:tcBorders>
              <w:top w:val="single" w:sz="8" w:color="auto"/>
            </w:tcBorders>
          </w:tcPr>
          <w:p>
            <w:pPr>
              <w:spacing w:after="0"/>
              <w:rPr>
                <w:sz w:val="14"/>
                <w:szCs w:val="14"/>
                <w:color w:val="auto"/>
              </w:rPr>
            </w:pPr>
          </w:p>
        </w:tc>
        <w:tc>
          <w:tcPr>
            <w:tcW w:w="1320" w:type="dxa"/>
            <w:vAlign w:val="bottom"/>
          </w:tcPr>
          <w:p>
            <w:pPr>
              <w:spacing w:after="0"/>
              <w:rPr>
                <w:sz w:val="14"/>
                <w:szCs w:val="14"/>
                <w:color w:val="auto"/>
              </w:rPr>
            </w:pPr>
          </w:p>
        </w:tc>
      </w:tr>
      <w:tr>
        <w:trPr>
          <w:trHeight w:val="189"/>
        </w:trPr>
        <w:tc>
          <w:tcPr>
            <w:tcW w:w="4320" w:type="dxa"/>
            <w:vAlign w:val="bottom"/>
          </w:tcPr>
          <w:p>
            <w:pPr>
              <w:spacing w:after="0"/>
              <w:rPr>
                <w:sz w:val="16"/>
                <w:szCs w:val="16"/>
                <w:color w:val="auto"/>
              </w:rPr>
            </w:pPr>
          </w:p>
        </w:tc>
        <w:tc>
          <w:tcPr>
            <w:tcW w:w="1740" w:type="dxa"/>
            <w:vAlign w:val="bottom"/>
          </w:tcPr>
          <w:p>
            <w:pPr>
              <w:ind w:left="1240"/>
              <w:spacing w:after="0" w:line="189" w:lineRule="exact"/>
              <w:rPr>
                <w:sz w:val="20"/>
                <w:szCs w:val="20"/>
                <w:color w:val="auto"/>
              </w:rPr>
            </w:pPr>
            <w:r>
              <w:rPr>
                <w:rFonts w:ascii="Times New Roman" w:cs="Times New Roman" w:eastAsia="Times New Roman" w:hAnsi="Times New Roman"/>
                <w:sz w:val="18"/>
                <w:szCs w:val="18"/>
                <w:color w:val="auto"/>
              </w:rPr>
              <w:t>:</w:t>
            </w:r>
          </w:p>
        </w:tc>
        <w:tc>
          <w:tcPr>
            <w:tcW w:w="3660" w:type="dxa"/>
            <w:vAlign w:val="bottom"/>
            <w:gridSpan w:val="2"/>
          </w:tcPr>
          <w:p>
            <w:pPr>
              <w:ind w:left="80"/>
              <w:spacing w:after="0" w:line="189" w:lineRule="exact"/>
              <w:rPr>
                <w:sz w:val="20"/>
                <w:szCs w:val="20"/>
                <w:color w:val="auto"/>
              </w:rPr>
            </w:pPr>
            <w:r>
              <w:rPr>
                <w:rFonts w:ascii="Times New Roman" w:cs="Times New Roman" w:eastAsia="Times New Roman" w:hAnsi="Times New Roman"/>
                <w:sz w:val="18"/>
                <w:szCs w:val="18"/>
                <w:color w:val="auto"/>
              </w:rPr>
              <w:t>W. Ming Shao</w:t>
            </w:r>
          </w:p>
        </w:tc>
        <w:tc>
          <w:tcPr>
            <w:tcW w:w="1320" w:type="dxa"/>
            <w:vAlign w:val="bottom"/>
          </w:tcPr>
          <w:p>
            <w:pPr>
              <w:spacing w:after="0"/>
              <w:rPr>
                <w:sz w:val="16"/>
                <w:szCs w:val="16"/>
                <w:color w:val="auto"/>
              </w:rPr>
            </w:pPr>
          </w:p>
        </w:tc>
      </w:tr>
      <w:tr>
        <w:trPr>
          <w:trHeight w:val="234"/>
        </w:trPr>
        <w:tc>
          <w:tcPr>
            <w:tcW w:w="4320" w:type="dxa"/>
            <w:vAlign w:val="bottom"/>
          </w:tcPr>
          <w:p>
            <w:pPr>
              <w:spacing w:after="0"/>
              <w:rPr>
                <w:sz w:val="20"/>
                <w:szCs w:val="20"/>
                <w:color w:val="auto"/>
              </w:rPr>
            </w:pPr>
          </w:p>
        </w:tc>
        <w:tc>
          <w:tcPr>
            <w:tcW w:w="1740" w:type="dxa"/>
            <w:vAlign w:val="bottom"/>
          </w:tcPr>
          <w:p>
            <w:pPr>
              <w:ind w:left="1240"/>
              <w:spacing w:after="0"/>
              <w:rPr>
                <w:sz w:val="20"/>
                <w:szCs w:val="20"/>
                <w:color w:val="auto"/>
              </w:rPr>
            </w:pPr>
            <w:r>
              <w:rPr>
                <w:rFonts w:ascii="Times New Roman" w:cs="Times New Roman" w:eastAsia="Times New Roman" w:hAnsi="Times New Roman"/>
                <w:sz w:val="18"/>
                <w:szCs w:val="18"/>
                <w:color w:val="auto"/>
              </w:rPr>
              <w:t>Title:</w:t>
            </w:r>
          </w:p>
        </w:tc>
        <w:tc>
          <w:tcPr>
            <w:tcW w:w="366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c>
          <w:tcPr>
            <w:tcW w:w="1320" w:type="dxa"/>
            <w:vAlign w:val="bottom"/>
          </w:tcPr>
          <w:p>
            <w:pPr>
              <w:spacing w:after="0"/>
              <w:rPr>
                <w:sz w:val="20"/>
                <w:szCs w:val="20"/>
                <w:color w:val="auto"/>
              </w:rPr>
            </w:pPr>
          </w:p>
        </w:tc>
      </w:tr>
      <w:tr>
        <w:trPr>
          <w:trHeight w:val="1708"/>
        </w:trPr>
        <w:tc>
          <w:tcPr>
            <w:tcW w:w="4320" w:type="dxa"/>
            <w:vAlign w:val="bottom"/>
            <w:tcBorders>
              <w:bottom w:val="single" w:sz="8" w:color="9A9A9A"/>
            </w:tcBorders>
          </w:tcPr>
          <w:p>
            <w:pPr>
              <w:spacing w:after="0"/>
              <w:rPr>
                <w:sz w:val="24"/>
                <w:szCs w:val="24"/>
                <w:color w:val="auto"/>
              </w:rPr>
            </w:pPr>
          </w:p>
        </w:tc>
        <w:tc>
          <w:tcPr>
            <w:tcW w:w="174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3580" w:type="dxa"/>
            <w:vAlign w:val="bottom"/>
            <w:tcBorders>
              <w:bottom w:val="single" w:sz="8" w:color="9A9A9A"/>
            </w:tcBorders>
          </w:tcPr>
          <w:p>
            <w:pPr>
              <w:spacing w:after="0"/>
              <w:rPr>
                <w:sz w:val="24"/>
                <w:szCs w:val="24"/>
                <w:color w:val="auto"/>
              </w:rPr>
            </w:pPr>
          </w:p>
        </w:tc>
        <w:tc>
          <w:tcPr>
            <w:tcW w:w="13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6992620</wp:posOffset>
            </wp:positionH>
            <wp:positionV relativeFrom="paragraph">
              <wp:posOffset>-29210</wp:posOffset>
            </wp:positionV>
            <wp:extent cx="34290" cy="4254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34290" cy="42545"/>
                    </a:xfrm>
                    <a:prstGeom prst="rect">
                      <a:avLst/>
                    </a:prstGeom>
                    <a:noFill/>
                  </pic:spPr>
                </pic:pic>
              </a:graphicData>
            </a:graphic>
          </wp:anchor>
        </w:drawing>
        <w:drawing>
          <wp:anchor simplePos="0" relativeHeight="251657728" behindDoc="1" locked="0" layoutInCell="0" allowOverlap="1">
            <wp:simplePos x="0" y="0"/>
            <wp:positionH relativeFrom="column">
              <wp:posOffset>-10795</wp:posOffset>
            </wp:positionH>
            <wp:positionV relativeFrom="paragraph">
              <wp:posOffset>-29210</wp:posOffset>
            </wp:positionV>
            <wp:extent cx="33655" cy="4254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33655" cy="42545"/>
                    </a:xfrm>
                    <a:prstGeom prst="rect">
                      <a:avLst/>
                    </a:prstGeom>
                    <a:noFill/>
                  </pic:spPr>
                </pic:pic>
              </a:graphicData>
            </a:graphic>
          </wp:anchor>
        </w:drawing>
      </w:r>
    </w:p>
    <w:p>
      <w:pPr>
        <w:sectPr>
          <w:pgSz w:w="11900" w:h="16838" w:orient="portrait"/>
          <w:cols w:equalWidth="0" w:num="1">
            <w:col w:w="11040"/>
          </w:cols>
          <w:pgMar w:left="420" w:top="1440" w:right="439" w:bottom="1440" w:gutter="0" w:footer="0" w:header="0"/>
        </w:sectPr>
      </w:pPr>
    </w:p>
    <w:bookmarkStart w:id="7" w:name="page8"/>
    <w:bookmarkEnd w:id="7"/>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74B0DC51"/>
    <w:multiLevelType w:val="hybridMultilevel"/>
    <w:lvl w:ilvl="0">
      <w:lvlJc w:val="left"/>
      <w:lvlText w:val="☐"/>
      <w:numFmt w:val="bullet"/>
      <w:start w:val="1"/>
    </w:lvl>
  </w:abstractNum>
  <w:abstractNum w:abstractNumId="1">
    <w:nsid w:val="19495CFF"/>
    <w:multiLevelType w:val="hybridMultilevel"/>
    <w:lvl w:ilvl="0">
      <w:lvlJc w:val="left"/>
      <w:lvlText w:val="(%1)"/>
      <w:numFmt w:val="decimal"/>
      <w:start w:val="1"/>
    </w:lvl>
  </w:abstractNum>
  <w:abstractNum w:abstractNumId="2">
    <w:nsid w:val="2AE8944A"/>
    <w:multiLevelType w:val="hybridMultilevel"/>
    <w:lvl w:ilvl="0">
      <w:lvlJc w:val="left"/>
      <w:lvlText w:val="•"/>
      <w:numFmt w:val="bullet"/>
      <w:start w:val="1"/>
    </w:lvl>
  </w:abstractNum>
  <w:abstractNum w:abstractNumId="3">
    <w:nsid w:val="625558EC"/>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2025-02-24T07:11:33Z</dcterms:created>
  <dcterms:modified xsi:type="dcterms:W3CDTF">2025-02-24T07:11:33Z</dcterms:modified>
</cp:coreProperties>
</file>